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2F" w:rsidRPr="00E514FA" w:rsidRDefault="00A130E9" w:rsidP="00A130E9">
      <w:pPr>
        <w:tabs>
          <w:tab w:val="left" w:pos="3180"/>
        </w:tabs>
        <w:spacing w:after="0" w:line="360" w:lineRule="auto"/>
        <w:rPr>
          <w:rFonts w:ascii="Cambria" w:hAnsi="Cambria"/>
          <w:szCs w:val="24"/>
        </w:rPr>
      </w:pPr>
      <w:r>
        <w:rPr>
          <w:rFonts w:ascii="Cambria" w:hAnsi="Cambria"/>
          <w:szCs w:val="24"/>
        </w:rPr>
        <w:t>Processo nº 4903-6081/2017</w:t>
      </w:r>
    </w:p>
    <w:p w:rsidR="00CC742F" w:rsidRPr="00E514FA" w:rsidRDefault="00CC742F" w:rsidP="00CC742F">
      <w:pPr>
        <w:spacing w:after="0" w:line="360" w:lineRule="auto"/>
        <w:jc w:val="both"/>
        <w:rPr>
          <w:rFonts w:ascii="Cambria" w:hAnsi="Cambria"/>
          <w:szCs w:val="24"/>
        </w:rPr>
      </w:pPr>
      <w:r w:rsidRPr="00E514FA">
        <w:rPr>
          <w:rFonts w:ascii="Cambria" w:hAnsi="Cambria"/>
          <w:szCs w:val="24"/>
        </w:rPr>
        <w:t xml:space="preserve">Interessado: </w:t>
      </w:r>
      <w:r w:rsidR="00A130E9">
        <w:rPr>
          <w:rFonts w:ascii="Cambria" w:hAnsi="Cambria"/>
          <w:szCs w:val="24"/>
        </w:rPr>
        <w:t>Diretoria da Presidência.</w:t>
      </w:r>
    </w:p>
    <w:p w:rsidR="00CC742F" w:rsidRPr="00E514FA" w:rsidRDefault="00CC742F" w:rsidP="00CC742F">
      <w:pPr>
        <w:spacing w:after="0" w:line="360" w:lineRule="auto"/>
        <w:jc w:val="both"/>
        <w:rPr>
          <w:rFonts w:ascii="Cambria" w:hAnsi="Cambria"/>
          <w:szCs w:val="24"/>
        </w:rPr>
      </w:pPr>
      <w:r w:rsidRPr="00E514FA">
        <w:rPr>
          <w:rFonts w:ascii="Cambria" w:hAnsi="Cambria"/>
          <w:szCs w:val="24"/>
        </w:rPr>
        <w:t xml:space="preserve">Assunto: </w:t>
      </w:r>
      <w:r w:rsidR="00A130E9">
        <w:rPr>
          <w:rFonts w:ascii="Cambria" w:hAnsi="Cambria"/>
          <w:szCs w:val="24"/>
        </w:rPr>
        <w:t xml:space="preserve">Solicita Parecer Jurídico referente à obrigatoriedade legal para que os órgãos públicos atendam a compensação ambiental pecuniária. </w:t>
      </w:r>
    </w:p>
    <w:p w:rsidR="00CC742F" w:rsidRPr="00E514FA" w:rsidRDefault="00CC742F" w:rsidP="00CC742F">
      <w:pPr>
        <w:spacing w:after="0" w:line="360" w:lineRule="auto"/>
        <w:jc w:val="center"/>
        <w:rPr>
          <w:rFonts w:ascii="Cambria" w:hAnsi="Cambria" w:cstheme="minorBidi"/>
          <w:b/>
          <w:sz w:val="24"/>
          <w:szCs w:val="24"/>
        </w:rPr>
      </w:pPr>
    </w:p>
    <w:p w:rsidR="00CC742F" w:rsidRPr="00E514FA" w:rsidRDefault="00CC742F" w:rsidP="00CC742F">
      <w:pPr>
        <w:spacing w:after="0" w:line="360" w:lineRule="auto"/>
        <w:jc w:val="center"/>
        <w:rPr>
          <w:rFonts w:ascii="Cambria" w:hAnsi="Cambria" w:cstheme="minorBidi"/>
          <w:b/>
          <w:sz w:val="24"/>
          <w:szCs w:val="24"/>
        </w:rPr>
      </w:pPr>
    </w:p>
    <w:p w:rsidR="00CC742F" w:rsidRPr="00E514FA" w:rsidRDefault="00CC742F" w:rsidP="00CC742F">
      <w:pPr>
        <w:spacing w:after="0" w:line="360" w:lineRule="auto"/>
        <w:jc w:val="center"/>
        <w:rPr>
          <w:rFonts w:ascii="Cambria" w:hAnsi="Cambria" w:cstheme="minorBidi"/>
          <w:b/>
          <w:sz w:val="24"/>
          <w:szCs w:val="24"/>
        </w:rPr>
      </w:pPr>
      <w:r w:rsidRPr="00E514FA">
        <w:rPr>
          <w:rFonts w:ascii="Cambria" w:hAnsi="Cambria" w:cstheme="minorBidi"/>
          <w:b/>
          <w:sz w:val="24"/>
          <w:szCs w:val="24"/>
        </w:rPr>
        <w:t>PARECER IMA - COJ Nº _____/2017</w:t>
      </w:r>
    </w:p>
    <w:p w:rsidR="00CC742F" w:rsidRDefault="00CC742F" w:rsidP="00CC742F">
      <w:pPr>
        <w:spacing w:after="0" w:line="360" w:lineRule="auto"/>
        <w:ind w:firstLine="5670"/>
        <w:jc w:val="both"/>
        <w:rPr>
          <w:rFonts w:ascii="Cambria" w:hAnsi="Cambria"/>
          <w:b/>
          <w:sz w:val="24"/>
          <w:szCs w:val="24"/>
        </w:rPr>
      </w:pPr>
    </w:p>
    <w:p w:rsidR="00CC742F" w:rsidRPr="00E514FA" w:rsidRDefault="0070275E" w:rsidP="00CC742F">
      <w:pPr>
        <w:spacing w:after="0" w:line="360" w:lineRule="auto"/>
        <w:ind w:left="4536"/>
        <w:jc w:val="both"/>
        <w:rPr>
          <w:rFonts w:ascii="Cambria" w:hAnsi="Cambria"/>
          <w:sz w:val="24"/>
          <w:szCs w:val="24"/>
        </w:rPr>
      </w:pPr>
      <w:r>
        <w:rPr>
          <w:rFonts w:ascii="Cambria" w:hAnsi="Cambria"/>
          <w:sz w:val="24"/>
          <w:szCs w:val="24"/>
        </w:rPr>
        <w:t>COMPENSAÇÃO AMBIENTAL PREVISTA NO ART. 36 DA LEI FEDERAL N. 9.885/2000. OBRIGATORIEDADE DOS ÓRGÃOS PÚBLICOS DE QUALQUER ESFERA DA ADMINISTRAÇÃO PÚBLICA.</w:t>
      </w:r>
      <w:bookmarkStart w:id="0" w:name="_GoBack"/>
      <w:bookmarkEnd w:id="0"/>
      <w:r>
        <w:rPr>
          <w:rFonts w:ascii="Cambria" w:hAnsi="Cambria"/>
          <w:sz w:val="24"/>
          <w:szCs w:val="24"/>
        </w:rPr>
        <w:t xml:space="preserve"> </w:t>
      </w:r>
    </w:p>
    <w:p w:rsidR="00CC742F" w:rsidRDefault="00CC742F" w:rsidP="00CC742F">
      <w:pPr>
        <w:spacing w:after="0" w:line="360" w:lineRule="auto"/>
        <w:jc w:val="center"/>
        <w:rPr>
          <w:rFonts w:ascii="Cambria" w:hAnsi="Cambria" w:cs="Arial"/>
          <w:sz w:val="24"/>
          <w:szCs w:val="24"/>
        </w:rPr>
      </w:pPr>
    </w:p>
    <w:p w:rsidR="003B3D57" w:rsidRDefault="00CC742F" w:rsidP="00CC742F">
      <w:pPr>
        <w:spacing w:after="0" w:line="360" w:lineRule="auto"/>
        <w:jc w:val="center"/>
        <w:rPr>
          <w:rFonts w:ascii="Cambria" w:hAnsi="Cambria" w:cs="Arial"/>
          <w:b/>
          <w:sz w:val="24"/>
          <w:szCs w:val="24"/>
        </w:rPr>
      </w:pPr>
      <w:r w:rsidRPr="00CC742F">
        <w:rPr>
          <w:rFonts w:ascii="Cambria" w:hAnsi="Cambria" w:cs="Arial"/>
          <w:b/>
          <w:sz w:val="24"/>
          <w:szCs w:val="24"/>
        </w:rPr>
        <w:t xml:space="preserve">I </w:t>
      </w:r>
      <w:r>
        <w:rPr>
          <w:rFonts w:ascii="Cambria" w:hAnsi="Cambria" w:cs="Arial"/>
          <w:b/>
          <w:sz w:val="24"/>
          <w:szCs w:val="24"/>
        </w:rPr>
        <w:t>–</w:t>
      </w:r>
      <w:r w:rsidRPr="00CC742F">
        <w:rPr>
          <w:rFonts w:ascii="Cambria" w:hAnsi="Cambria" w:cs="Arial"/>
          <w:b/>
          <w:sz w:val="24"/>
          <w:szCs w:val="24"/>
        </w:rPr>
        <w:t xml:space="preserve"> RELATÓRIO</w:t>
      </w:r>
    </w:p>
    <w:p w:rsidR="00CC742F" w:rsidRDefault="00CC742F" w:rsidP="00CC742F">
      <w:pPr>
        <w:spacing w:after="0" w:line="360" w:lineRule="auto"/>
        <w:jc w:val="center"/>
        <w:rPr>
          <w:rFonts w:ascii="Cambria" w:hAnsi="Cambria" w:cs="Arial"/>
          <w:b/>
          <w:sz w:val="24"/>
          <w:szCs w:val="24"/>
        </w:rPr>
      </w:pPr>
    </w:p>
    <w:p w:rsidR="00A130E9" w:rsidRDefault="00CC742F" w:rsidP="00945902">
      <w:pPr>
        <w:spacing w:line="360" w:lineRule="auto"/>
        <w:ind w:left="-567" w:right="-568" w:firstLine="1077"/>
        <w:jc w:val="both"/>
        <w:rPr>
          <w:rFonts w:ascii="Cambria" w:hAnsi="Cambria" w:cs="Arial"/>
          <w:sz w:val="24"/>
          <w:szCs w:val="24"/>
        </w:rPr>
      </w:pPr>
      <w:r>
        <w:rPr>
          <w:rFonts w:ascii="Cambria" w:hAnsi="Cambria" w:cs="Arial"/>
          <w:sz w:val="24"/>
          <w:szCs w:val="24"/>
        </w:rPr>
        <w:t xml:space="preserve">Trata-se, </w:t>
      </w:r>
      <w:proofErr w:type="gramStart"/>
      <w:r>
        <w:rPr>
          <w:rFonts w:ascii="Cambria" w:hAnsi="Cambria" w:cs="Arial"/>
          <w:sz w:val="24"/>
          <w:szCs w:val="24"/>
        </w:rPr>
        <w:t>a presente</w:t>
      </w:r>
      <w:proofErr w:type="gramEnd"/>
      <w:r>
        <w:rPr>
          <w:rFonts w:ascii="Cambria" w:hAnsi="Cambria" w:cs="Arial"/>
          <w:sz w:val="24"/>
          <w:szCs w:val="24"/>
        </w:rPr>
        <w:t xml:space="preserve"> demanda, </w:t>
      </w:r>
      <w:r w:rsidRPr="00A130E9">
        <w:rPr>
          <w:rFonts w:ascii="Cambria" w:hAnsi="Cambria" w:cs="Arial"/>
          <w:sz w:val="24"/>
          <w:szCs w:val="24"/>
        </w:rPr>
        <w:t xml:space="preserve">de </w:t>
      </w:r>
      <w:r w:rsidR="00A130E9" w:rsidRPr="00A130E9">
        <w:rPr>
          <w:rFonts w:ascii="Cambria" w:hAnsi="Cambria" w:cs="Arial"/>
          <w:sz w:val="24"/>
          <w:szCs w:val="24"/>
        </w:rPr>
        <w:t>consulta so</w:t>
      </w:r>
      <w:r w:rsidR="006B0094">
        <w:rPr>
          <w:rFonts w:ascii="Cambria" w:hAnsi="Cambria" w:cs="Arial"/>
          <w:sz w:val="24"/>
          <w:szCs w:val="24"/>
        </w:rPr>
        <w:t>bre o instituto da Compensação A</w:t>
      </w:r>
      <w:r w:rsidR="00A130E9" w:rsidRPr="00A130E9">
        <w:rPr>
          <w:rFonts w:ascii="Cambria" w:hAnsi="Cambria" w:cs="Arial"/>
          <w:sz w:val="24"/>
          <w:szCs w:val="24"/>
        </w:rPr>
        <w:t xml:space="preserve">mbiental, notadamente quanto </w:t>
      </w:r>
      <w:r w:rsidR="00A130E9" w:rsidRPr="00A130E9">
        <w:rPr>
          <w:rFonts w:ascii="Cambria" w:hAnsi="Cambria" w:cs="Arial"/>
          <w:sz w:val="24"/>
          <w:szCs w:val="24"/>
        </w:rPr>
        <w:t>à exigibilidade ou não da Compensação Ambiental no licenciamento de obras de responsabilidade de órgãos públicos, no caso concreto, do Departamento Estadual de Estradas de Rodagem - DER/AL na obra de Duplicação da AL-105 Sul e da Secretaria de Infra Estrutura – SINFRA na obra do Canal do Sertão.</w:t>
      </w:r>
      <w:r w:rsidR="00A130E9">
        <w:rPr>
          <w:rFonts w:ascii="Cambria" w:hAnsi="Cambria" w:cs="Arial"/>
          <w:sz w:val="24"/>
          <w:szCs w:val="24"/>
        </w:rPr>
        <w:t xml:space="preserve"> </w:t>
      </w:r>
    </w:p>
    <w:p w:rsidR="00A130E9" w:rsidRDefault="00A130E9" w:rsidP="00945902">
      <w:pPr>
        <w:spacing w:line="360" w:lineRule="auto"/>
        <w:ind w:left="-567" w:right="-568" w:firstLine="1077"/>
        <w:jc w:val="both"/>
        <w:rPr>
          <w:rFonts w:ascii="Cambria" w:hAnsi="Cambria" w:cs="Arial"/>
          <w:sz w:val="24"/>
          <w:szCs w:val="24"/>
        </w:rPr>
      </w:pPr>
      <w:r>
        <w:rPr>
          <w:rFonts w:ascii="Cambria" w:hAnsi="Cambria" w:cs="Arial"/>
          <w:sz w:val="24"/>
          <w:szCs w:val="24"/>
        </w:rPr>
        <w:t xml:space="preserve">É o </w:t>
      </w:r>
      <w:r w:rsidR="006B0094">
        <w:rPr>
          <w:rFonts w:ascii="Cambria" w:hAnsi="Cambria" w:cs="Arial"/>
          <w:sz w:val="24"/>
          <w:szCs w:val="24"/>
        </w:rPr>
        <w:t>que se tem a relatar</w:t>
      </w:r>
      <w:r>
        <w:rPr>
          <w:rFonts w:ascii="Cambria" w:hAnsi="Cambria" w:cs="Arial"/>
          <w:sz w:val="24"/>
          <w:szCs w:val="24"/>
        </w:rPr>
        <w:t>.</w:t>
      </w:r>
    </w:p>
    <w:p w:rsidR="00CC742F" w:rsidRPr="00CC742F" w:rsidRDefault="00CC742F" w:rsidP="00CC742F">
      <w:pPr>
        <w:spacing w:after="0" w:line="360" w:lineRule="auto"/>
        <w:ind w:firstLine="1701"/>
        <w:jc w:val="both"/>
        <w:rPr>
          <w:rFonts w:ascii="Cambria" w:hAnsi="Cambria" w:cs="Arial"/>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CC742F" w:rsidRPr="00CD1826" w:rsidTr="004D3A27">
        <w:trPr>
          <w:trHeight w:val="6455"/>
          <w:tblCellSpacing w:w="0" w:type="dxa"/>
          <w:jc w:val="center"/>
        </w:trPr>
        <w:tc>
          <w:tcPr>
            <w:tcW w:w="0" w:type="auto"/>
            <w:hideMark/>
          </w:tcPr>
          <w:p w:rsidR="00CC742F" w:rsidRDefault="00CC742F" w:rsidP="004D3A27">
            <w:pPr>
              <w:spacing w:after="0"/>
              <w:jc w:val="center"/>
              <w:rPr>
                <w:rFonts w:asciiTheme="majorHAnsi" w:eastAsia="Times New Roman" w:hAnsiTheme="majorHAnsi"/>
                <w:b/>
                <w:sz w:val="24"/>
                <w:szCs w:val="20"/>
                <w:lang w:eastAsia="pt-BR"/>
              </w:rPr>
            </w:pPr>
            <w:r w:rsidRPr="0018007E">
              <w:rPr>
                <w:rFonts w:asciiTheme="majorHAnsi" w:eastAsia="Times New Roman" w:hAnsiTheme="majorHAnsi"/>
                <w:b/>
                <w:sz w:val="24"/>
                <w:szCs w:val="20"/>
                <w:lang w:eastAsia="pt-BR"/>
              </w:rPr>
              <w:lastRenderedPageBreak/>
              <w:t>II –</w:t>
            </w:r>
            <w:r>
              <w:rPr>
                <w:rFonts w:asciiTheme="majorHAnsi" w:eastAsia="Times New Roman" w:hAnsiTheme="majorHAnsi"/>
                <w:b/>
                <w:sz w:val="24"/>
                <w:szCs w:val="20"/>
                <w:lang w:eastAsia="pt-BR"/>
              </w:rPr>
              <w:t xml:space="preserve"> </w:t>
            </w:r>
            <w:r w:rsidRPr="0018007E">
              <w:rPr>
                <w:rFonts w:asciiTheme="majorHAnsi" w:eastAsia="Times New Roman" w:hAnsiTheme="majorHAnsi"/>
                <w:b/>
                <w:sz w:val="24"/>
                <w:szCs w:val="20"/>
                <w:lang w:eastAsia="pt-BR"/>
              </w:rPr>
              <w:t>FUNDAMENTAÇÃO</w:t>
            </w:r>
          </w:p>
          <w:p w:rsidR="00CC742F" w:rsidRPr="0018007E" w:rsidRDefault="00CC742F" w:rsidP="004D3A27">
            <w:pPr>
              <w:spacing w:after="0" w:line="276" w:lineRule="auto"/>
              <w:rPr>
                <w:rFonts w:asciiTheme="majorHAnsi" w:eastAsia="Times New Roman" w:hAnsiTheme="majorHAnsi"/>
                <w:b/>
                <w:sz w:val="24"/>
                <w:szCs w:val="20"/>
                <w:lang w:eastAsia="pt-BR"/>
              </w:rPr>
            </w:pPr>
          </w:p>
          <w:p w:rsidR="00F453F9" w:rsidRPr="00945902" w:rsidRDefault="00945902" w:rsidP="00F453F9">
            <w:pPr>
              <w:spacing w:line="360" w:lineRule="auto"/>
              <w:ind w:firstLine="1077"/>
              <w:jc w:val="both"/>
              <w:rPr>
                <w:rFonts w:ascii="Cambria" w:hAnsi="Cambria" w:cs="Arial"/>
                <w:sz w:val="24"/>
                <w:szCs w:val="24"/>
              </w:rPr>
            </w:pPr>
            <w:r w:rsidRPr="00945902">
              <w:rPr>
                <w:rFonts w:ascii="Cambria" w:hAnsi="Cambria" w:cs="Arial"/>
                <w:sz w:val="24"/>
                <w:szCs w:val="24"/>
              </w:rPr>
              <w:t>Antes de quaisquer elucubrações, permitimo-nos a uma breve digressão sobre o instituto da</w:t>
            </w:r>
            <w:r w:rsidR="006B0094" w:rsidRPr="00945902">
              <w:rPr>
                <w:rFonts w:ascii="Cambria" w:hAnsi="Cambria" w:cs="Arial"/>
                <w:sz w:val="24"/>
                <w:szCs w:val="24"/>
              </w:rPr>
              <w:t xml:space="preserve"> Compensação Ambiental, que passou a integrar o ideário jurídico brasileiro como instrumento de fortalecimento do Sistema Nacional de Unidades de Conservação – SNUC, criado pela Lei no 9.985, de 18 de julho de 2000:</w:t>
            </w:r>
          </w:p>
          <w:p w:rsidR="006B0094" w:rsidRDefault="00F453F9" w:rsidP="00F453F9">
            <w:pPr>
              <w:widowControl w:val="0"/>
              <w:autoSpaceDE w:val="0"/>
              <w:autoSpaceDN w:val="0"/>
              <w:adjustRightInd w:val="0"/>
              <w:ind w:left="2340"/>
              <w:jc w:val="both"/>
              <w:rPr>
                <w:rFonts w:ascii="Cambria" w:hAnsi="Cambria" w:cs="Arial"/>
                <w:i/>
                <w:sz w:val="20"/>
                <w:szCs w:val="24"/>
              </w:rPr>
            </w:pPr>
            <w:r>
              <w:rPr>
                <w:rFonts w:ascii="Cambria" w:hAnsi="Cambria" w:cs="Arial"/>
                <w:i/>
                <w:sz w:val="20"/>
                <w:szCs w:val="24"/>
              </w:rPr>
              <w:t>“</w:t>
            </w:r>
            <w:r w:rsidR="006B0094" w:rsidRPr="00F453F9">
              <w:rPr>
                <w:rFonts w:ascii="Cambria" w:hAnsi="Cambria" w:cs="Arial"/>
                <w:i/>
                <w:sz w:val="20"/>
                <w:szCs w:val="24"/>
              </w:rPr>
              <w:t xml:space="preserve">Art. 36 - Nos casos de licenciamento ambiental de empreendimentos de significativo impacto ambiental, assim considerado pelo órgão ambiental competente, com fundamento em estudo de impacto ambiental e respectivo relatório - EIA/RIMA, </w:t>
            </w:r>
            <w:r w:rsidR="006B0094" w:rsidRPr="00F453F9">
              <w:rPr>
                <w:rFonts w:ascii="Cambria" w:hAnsi="Cambria" w:cs="Arial"/>
                <w:b/>
                <w:i/>
                <w:sz w:val="20"/>
                <w:szCs w:val="24"/>
              </w:rPr>
              <w:t>o empreendedor é obrigado a apoiar a implantação e manutenção de unidade de conservação do Grupo de Proteção Integral</w:t>
            </w:r>
            <w:r w:rsidR="006B0094" w:rsidRPr="00F453F9">
              <w:rPr>
                <w:rFonts w:ascii="Cambria" w:hAnsi="Cambria" w:cs="Arial"/>
                <w:i/>
                <w:sz w:val="20"/>
                <w:szCs w:val="24"/>
              </w:rPr>
              <w:t>, de acordo com o disposto neste artigo e no regulamento desta Lei</w:t>
            </w:r>
            <w:r>
              <w:rPr>
                <w:rFonts w:ascii="Cambria" w:hAnsi="Cambria" w:cs="Arial"/>
                <w:i/>
                <w:sz w:val="20"/>
                <w:szCs w:val="24"/>
              </w:rPr>
              <w:t xml:space="preserve">”. </w:t>
            </w:r>
          </w:p>
          <w:p w:rsidR="00F453F9" w:rsidRPr="00F453F9" w:rsidRDefault="00F453F9" w:rsidP="00F453F9">
            <w:pPr>
              <w:widowControl w:val="0"/>
              <w:autoSpaceDE w:val="0"/>
              <w:autoSpaceDN w:val="0"/>
              <w:adjustRightInd w:val="0"/>
              <w:ind w:left="2340"/>
              <w:jc w:val="both"/>
              <w:rPr>
                <w:rFonts w:ascii="Cambria" w:hAnsi="Cambria" w:cs="Arial"/>
                <w:i/>
                <w:sz w:val="20"/>
                <w:szCs w:val="24"/>
              </w:rPr>
            </w:pPr>
          </w:p>
          <w:p w:rsidR="006B0094" w:rsidRPr="00F453F9" w:rsidRDefault="006B0094" w:rsidP="006B0094">
            <w:pPr>
              <w:spacing w:line="360" w:lineRule="auto"/>
              <w:ind w:firstLine="1077"/>
              <w:jc w:val="both"/>
              <w:rPr>
                <w:rFonts w:ascii="Cambria" w:hAnsi="Cambria" w:cs="Arial"/>
                <w:sz w:val="24"/>
                <w:szCs w:val="24"/>
              </w:rPr>
            </w:pPr>
            <w:r w:rsidRPr="00F453F9">
              <w:rPr>
                <w:rFonts w:ascii="Cambria" w:hAnsi="Cambria" w:cs="Arial"/>
                <w:sz w:val="24"/>
                <w:szCs w:val="24"/>
              </w:rPr>
              <w:t xml:space="preserve">Nota-se que esta compensação foi concebida como forma de retribuição pecuniária, por meio da qual uma atividade potencialmente poluidora é obrigada a apoiar a preservação de espaços especialmente protegidos como contrapartida pela utilização ou alteração adversa da qualidade de recursos naturais por uma atividade. </w:t>
            </w:r>
          </w:p>
          <w:p w:rsidR="006B0094" w:rsidRPr="00F453F9" w:rsidRDefault="006B0094" w:rsidP="006B0094">
            <w:pPr>
              <w:spacing w:line="360" w:lineRule="auto"/>
              <w:ind w:firstLine="1080"/>
              <w:jc w:val="both"/>
              <w:rPr>
                <w:rFonts w:ascii="Cambria" w:hAnsi="Cambria" w:cs="Arial"/>
                <w:sz w:val="24"/>
                <w:szCs w:val="24"/>
              </w:rPr>
            </w:pPr>
            <w:r w:rsidRPr="00F453F9">
              <w:rPr>
                <w:rFonts w:ascii="Cambria" w:hAnsi="Cambria" w:cs="Arial"/>
                <w:sz w:val="24"/>
                <w:szCs w:val="24"/>
              </w:rPr>
              <w:t>Na esfera federal, até recentemente, a aplicação dos recursos da Compensação Ambiental nas Unidades de Conservação era cumprida mediante depósito do valor em contas escriturais abertas na Caixa Econômica Federal em nome do empreendimento, conforme previsto na parte final do caput e no § 2</w:t>
            </w:r>
            <w:r w:rsidR="00F453F9">
              <w:rPr>
                <w:rFonts w:ascii="Cambria" w:hAnsi="Cambria" w:cs="Arial"/>
                <w:sz w:val="24"/>
                <w:szCs w:val="24"/>
              </w:rPr>
              <w:t>º</w:t>
            </w:r>
            <w:r w:rsidRPr="00F453F9">
              <w:rPr>
                <w:rFonts w:ascii="Cambria" w:hAnsi="Cambria" w:cs="Arial"/>
                <w:sz w:val="24"/>
                <w:szCs w:val="24"/>
              </w:rPr>
              <w:t xml:space="preserve"> do art. 11 da Instrução Normativa </w:t>
            </w:r>
            <w:proofErr w:type="spellStart"/>
            <w:proofErr w:type="gramStart"/>
            <w:r w:rsidRPr="00F453F9">
              <w:rPr>
                <w:rFonts w:ascii="Cambria" w:hAnsi="Cambria" w:cs="Arial"/>
                <w:sz w:val="24"/>
                <w:szCs w:val="24"/>
              </w:rPr>
              <w:t>ICMBio</w:t>
            </w:r>
            <w:proofErr w:type="spellEnd"/>
            <w:proofErr w:type="gramEnd"/>
            <w:r w:rsidRPr="00F453F9">
              <w:rPr>
                <w:rFonts w:ascii="Cambria" w:hAnsi="Cambria" w:cs="Arial"/>
                <w:sz w:val="24"/>
                <w:szCs w:val="24"/>
              </w:rPr>
              <w:t xml:space="preserve"> n</w:t>
            </w:r>
            <w:r w:rsidR="00F453F9">
              <w:rPr>
                <w:rFonts w:ascii="Cambria" w:hAnsi="Cambria" w:cs="Arial"/>
                <w:sz w:val="24"/>
                <w:szCs w:val="24"/>
              </w:rPr>
              <w:t>º</w:t>
            </w:r>
            <w:r w:rsidRPr="00F453F9">
              <w:rPr>
                <w:rFonts w:ascii="Cambria" w:hAnsi="Cambria" w:cs="Arial"/>
                <w:sz w:val="24"/>
                <w:szCs w:val="24"/>
              </w:rPr>
              <w:t xml:space="preserve"> 20, de 22 de novembro de 2011.</w:t>
            </w:r>
          </w:p>
          <w:p w:rsidR="006B0094" w:rsidRPr="00F453F9" w:rsidRDefault="00F453F9" w:rsidP="00F453F9">
            <w:pPr>
              <w:widowControl w:val="0"/>
              <w:autoSpaceDE w:val="0"/>
              <w:autoSpaceDN w:val="0"/>
              <w:adjustRightInd w:val="0"/>
              <w:ind w:left="2340"/>
              <w:jc w:val="both"/>
              <w:rPr>
                <w:rFonts w:ascii="Cambria" w:hAnsi="Cambria" w:cs="Arial"/>
                <w:i/>
                <w:sz w:val="20"/>
                <w:szCs w:val="24"/>
              </w:rPr>
            </w:pPr>
            <w:proofErr w:type="gramStart"/>
            <w:r>
              <w:rPr>
                <w:rFonts w:ascii="Cambria" w:hAnsi="Cambria" w:cs="Arial"/>
                <w:i/>
                <w:sz w:val="20"/>
                <w:szCs w:val="24"/>
              </w:rPr>
              <w:t>“</w:t>
            </w:r>
            <w:r w:rsidR="006B0094" w:rsidRPr="00F453F9">
              <w:rPr>
                <w:rFonts w:ascii="Cambria" w:hAnsi="Cambria" w:cs="Arial"/>
                <w:i/>
                <w:sz w:val="20"/>
                <w:szCs w:val="24"/>
              </w:rPr>
              <w:t>Art. 11.</w:t>
            </w:r>
            <w:proofErr w:type="gramEnd"/>
            <w:r w:rsidR="006B0094" w:rsidRPr="00F453F9">
              <w:rPr>
                <w:rFonts w:ascii="Cambria" w:hAnsi="Cambria" w:cs="Arial"/>
                <w:i/>
                <w:sz w:val="20"/>
                <w:szCs w:val="24"/>
              </w:rPr>
              <w:t xml:space="preserve"> Para o cumprimento da compensação ambiental fixada, o empreendedor poderá optar pela execução por meios próprios, podendo, para tanto, utilizar-se de terceiros, inclusive, instituições financeiras, preferencialmente, oficiais, ou ainda depositar em contas escriturais de compensação ambiental junto à CAIXA. </w:t>
            </w:r>
          </w:p>
          <w:p w:rsidR="006B0094" w:rsidRPr="00F453F9" w:rsidRDefault="006B0094" w:rsidP="00F453F9">
            <w:pPr>
              <w:widowControl w:val="0"/>
              <w:autoSpaceDE w:val="0"/>
              <w:autoSpaceDN w:val="0"/>
              <w:adjustRightInd w:val="0"/>
              <w:ind w:left="2340"/>
              <w:jc w:val="both"/>
              <w:rPr>
                <w:rFonts w:ascii="Cambria" w:hAnsi="Cambria" w:cs="Arial"/>
                <w:i/>
                <w:sz w:val="20"/>
                <w:szCs w:val="24"/>
              </w:rPr>
            </w:pPr>
            <w:r w:rsidRPr="00F453F9">
              <w:rPr>
                <w:rFonts w:ascii="Cambria" w:hAnsi="Cambria" w:cs="Arial"/>
                <w:i/>
                <w:sz w:val="20"/>
                <w:szCs w:val="24"/>
              </w:rPr>
              <w:t>(...)</w:t>
            </w:r>
          </w:p>
          <w:p w:rsidR="006B0094" w:rsidRPr="00F453F9" w:rsidRDefault="006B0094" w:rsidP="00F453F9">
            <w:pPr>
              <w:widowControl w:val="0"/>
              <w:autoSpaceDE w:val="0"/>
              <w:autoSpaceDN w:val="0"/>
              <w:adjustRightInd w:val="0"/>
              <w:ind w:left="2340"/>
              <w:jc w:val="both"/>
              <w:rPr>
                <w:rFonts w:ascii="Cambria" w:hAnsi="Cambria" w:cs="Arial"/>
                <w:i/>
                <w:sz w:val="20"/>
                <w:szCs w:val="24"/>
              </w:rPr>
            </w:pPr>
            <w:proofErr w:type="gramStart"/>
            <w:r w:rsidRPr="00F453F9">
              <w:rPr>
                <w:rFonts w:ascii="Cambria" w:hAnsi="Cambria" w:cs="Arial"/>
                <w:i/>
                <w:sz w:val="20"/>
                <w:szCs w:val="24"/>
              </w:rPr>
              <w:t>§ 2° Caso o empreendedor faça opção pelo depósito em contas escriturais de compensação em nome de empreendimento, deverá fazê-lo junto à CAIXA, em conta a ser indicada pelo Instituto Chico Mendes, do valor total de sua obrigação à vista ou em até 04 (quatro) parcelas mensais e sucessivas, devidamente corrigidas pelo Índice Nacional de Preços ao Consumidor Amplo Especial - IPCA-E - publicado pelo Instituto Brasileiro de Geografia e Estatística - IBGE - ou outro índice que venha a substituí-lo, do mês imediata</w:t>
            </w:r>
            <w:r w:rsidR="00F453F9">
              <w:rPr>
                <w:rFonts w:ascii="Cambria" w:hAnsi="Cambria" w:cs="Arial"/>
                <w:i/>
                <w:sz w:val="20"/>
                <w:szCs w:val="24"/>
              </w:rPr>
              <w:t>mente anterior ao do depósito”</w:t>
            </w:r>
            <w:proofErr w:type="gramEnd"/>
            <w:r w:rsidR="00F453F9">
              <w:rPr>
                <w:rFonts w:ascii="Cambria" w:hAnsi="Cambria" w:cs="Arial"/>
                <w:i/>
                <w:sz w:val="20"/>
                <w:szCs w:val="24"/>
              </w:rPr>
              <w:t xml:space="preserve">.  </w:t>
            </w:r>
          </w:p>
          <w:p w:rsidR="006B0094" w:rsidRPr="00F453F9" w:rsidRDefault="006B0094" w:rsidP="006B0094">
            <w:pPr>
              <w:spacing w:line="360" w:lineRule="auto"/>
              <w:ind w:firstLine="1080"/>
              <w:jc w:val="both"/>
              <w:rPr>
                <w:rFonts w:ascii="Cambria" w:hAnsi="Cambria" w:cs="Arial"/>
                <w:sz w:val="24"/>
                <w:szCs w:val="24"/>
              </w:rPr>
            </w:pPr>
          </w:p>
          <w:p w:rsidR="006B0094" w:rsidRPr="00F453F9" w:rsidRDefault="006B0094" w:rsidP="00F453F9">
            <w:pPr>
              <w:spacing w:line="360" w:lineRule="auto"/>
              <w:ind w:firstLine="1080"/>
              <w:jc w:val="both"/>
              <w:rPr>
                <w:rFonts w:ascii="Cambria" w:hAnsi="Cambria" w:cs="Arial"/>
                <w:sz w:val="24"/>
                <w:szCs w:val="24"/>
              </w:rPr>
            </w:pPr>
            <w:r w:rsidRPr="00F453F9">
              <w:rPr>
                <w:rFonts w:ascii="Cambria" w:hAnsi="Cambria" w:cs="Arial"/>
                <w:sz w:val="24"/>
                <w:szCs w:val="24"/>
              </w:rPr>
              <w:lastRenderedPageBreak/>
              <w:t>Em 2012 o Tribunal de Contas da União exarou o Acórdão no 2650</w:t>
            </w:r>
            <w:r w:rsidR="00F453F9">
              <w:rPr>
                <w:rFonts w:ascii="Cambria" w:hAnsi="Cambria" w:cs="Arial"/>
                <w:sz w:val="24"/>
                <w:szCs w:val="24"/>
              </w:rPr>
              <w:t>/2009 contrário a essa prática:</w:t>
            </w:r>
          </w:p>
          <w:p w:rsidR="006B0094" w:rsidRPr="008210F6" w:rsidRDefault="008210F6" w:rsidP="00F453F9">
            <w:pPr>
              <w:ind w:left="2816"/>
              <w:jc w:val="both"/>
              <w:rPr>
                <w:rFonts w:ascii="Cambria" w:hAnsi="Cambria" w:cs="Arial"/>
                <w:i/>
                <w:szCs w:val="24"/>
              </w:rPr>
            </w:pPr>
            <w:proofErr w:type="gramStart"/>
            <w:r>
              <w:rPr>
                <w:rFonts w:ascii="Cambria" w:hAnsi="Cambria" w:cs="Arial"/>
                <w:i/>
                <w:szCs w:val="24"/>
              </w:rPr>
              <w:t>“</w:t>
            </w:r>
            <w:r w:rsidR="006B0094" w:rsidRPr="008210F6">
              <w:rPr>
                <w:rFonts w:ascii="Cambria" w:hAnsi="Cambria" w:cs="Arial"/>
                <w:i/>
                <w:szCs w:val="24"/>
              </w:rPr>
              <w:t>AUDITORIA DE NATUREZA OPERACIONAL.</w:t>
            </w:r>
            <w:proofErr w:type="gramEnd"/>
            <w:r w:rsidR="006B0094" w:rsidRPr="008210F6">
              <w:rPr>
                <w:rFonts w:ascii="Cambria" w:hAnsi="Cambria" w:cs="Arial"/>
                <w:i/>
                <w:szCs w:val="24"/>
              </w:rPr>
              <w:t xml:space="preserve"> RECURSOS DA COMPENSAÇÃO AMBIENTAL, LEI N</w:t>
            </w:r>
            <w:r>
              <w:rPr>
                <w:rFonts w:ascii="Cambria" w:hAnsi="Cambria" w:cs="Arial"/>
                <w:i/>
                <w:szCs w:val="24"/>
              </w:rPr>
              <w:t>º</w:t>
            </w:r>
            <w:r w:rsidR="006B0094" w:rsidRPr="008210F6">
              <w:rPr>
                <w:rFonts w:ascii="Cambria" w:hAnsi="Cambria" w:cs="Arial"/>
                <w:i/>
                <w:szCs w:val="24"/>
              </w:rPr>
              <w:t xml:space="preserve"> 9.985/2000. CONTRIBUIÇÃO FINANCEIRA. INEXISTÊNCIA. GESTÃO DE RECURSOS POR ÓRGÃOS PÚBLICOS. IMPOSSIBILIDADE. RECOMENDAÇÕES. </w:t>
            </w:r>
          </w:p>
          <w:p w:rsidR="006B0094" w:rsidRPr="008210F6" w:rsidRDefault="006B0094" w:rsidP="00F453F9">
            <w:pPr>
              <w:ind w:left="2816"/>
              <w:jc w:val="both"/>
              <w:rPr>
                <w:rFonts w:ascii="Cambria" w:hAnsi="Cambria" w:cs="Arial"/>
                <w:i/>
                <w:szCs w:val="24"/>
              </w:rPr>
            </w:pPr>
            <w:r w:rsidRPr="008210F6">
              <w:rPr>
                <w:rFonts w:ascii="Cambria" w:hAnsi="Cambria" w:cs="Arial"/>
                <w:i/>
                <w:szCs w:val="24"/>
              </w:rPr>
              <w:t xml:space="preserve">1. O art. 36 da Lei no 9.985/2000 cria para o empreendedor, nos casos nela previstos, obrigação de fazer, consistente em praticar atos para apoiar a implantação e a manutenção de unidades de conservação. </w:t>
            </w:r>
          </w:p>
          <w:p w:rsidR="006B0094" w:rsidRPr="008210F6" w:rsidRDefault="006B0094" w:rsidP="00F453F9">
            <w:pPr>
              <w:ind w:left="2816"/>
              <w:jc w:val="both"/>
              <w:rPr>
                <w:rFonts w:ascii="Cambria" w:hAnsi="Cambria" w:cs="Arial"/>
                <w:i/>
                <w:szCs w:val="24"/>
              </w:rPr>
            </w:pPr>
            <w:r w:rsidRPr="008210F6">
              <w:rPr>
                <w:rFonts w:ascii="Cambria" w:hAnsi="Cambria" w:cs="Arial"/>
                <w:i/>
                <w:szCs w:val="24"/>
              </w:rPr>
              <w:t>(...)</w:t>
            </w:r>
          </w:p>
          <w:p w:rsidR="006B0094" w:rsidRPr="008210F6" w:rsidRDefault="006B0094" w:rsidP="00F453F9">
            <w:pPr>
              <w:ind w:left="2816"/>
              <w:jc w:val="both"/>
              <w:rPr>
                <w:rFonts w:ascii="Cambria" w:hAnsi="Cambria" w:cs="Arial"/>
                <w:i/>
                <w:szCs w:val="24"/>
              </w:rPr>
            </w:pPr>
            <w:r w:rsidRPr="008210F6">
              <w:rPr>
                <w:rFonts w:ascii="Cambria" w:hAnsi="Cambria" w:cs="Arial"/>
                <w:i/>
                <w:szCs w:val="24"/>
              </w:rPr>
              <w:t>4. A Lei não cria para o empreendedor obrigação de pagar ou recolher certa quantia aos cofres públicos, a título de compensação ambiental, nem há respaldo legal para arrecadação, cobrança ou exação de qualquer pagamento ou contribuição a esse título.</w:t>
            </w:r>
          </w:p>
          <w:p w:rsidR="006B0094" w:rsidRPr="008210F6" w:rsidRDefault="006B0094" w:rsidP="00F453F9">
            <w:pPr>
              <w:ind w:left="2816"/>
              <w:jc w:val="both"/>
              <w:rPr>
                <w:rFonts w:ascii="Cambria" w:hAnsi="Cambria" w:cs="Arial"/>
                <w:i/>
                <w:szCs w:val="24"/>
              </w:rPr>
            </w:pPr>
            <w:r w:rsidRPr="008210F6">
              <w:rPr>
                <w:rFonts w:ascii="Cambria" w:hAnsi="Cambria" w:cs="Arial"/>
                <w:i/>
                <w:szCs w:val="24"/>
              </w:rPr>
              <w:t>5. Não há previsão legal para que recursos, destinados pelo empreendedor para apoiar a implantação e manutenção de unidades de conservação, sejam arrecadados, geridos ou gastos pelos órgãos públicos responsáveis pela fiscalização ambiental ou pela gestão das unidades de conservação.</w:t>
            </w:r>
          </w:p>
          <w:p w:rsidR="006B0094" w:rsidRPr="008210F6" w:rsidRDefault="006B0094" w:rsidP="00F453F9">
            <w:pPr>
              <w:ind w:left="2816"/>
              <w:jc w:val="both"/>
              <w:rPr>
                <w:rFonts w:ascii="Cambria" w:hAnsi="Cambria" w:cs="Arial"/>
                <w:i/>
                <w:szCs w:val="24"/>
              </w:rPr>
            </w:pPr>
            <w:r w:rsidRPr="008210F6">
              <w:rPr>
                <w:rFonts w:ascii="Cambria" w:hAnsi="Cambria" w:cs="Arial"/>
                <w:i/>
                <w:szCs w:val="24"/>
              </w:rPr>
              <w:t>6. Ao órgão de licenciamento ambiental cabe apenas definir o montante destinado pelo empreendedor a essa finalidade, bem como as unidades de conservação a serem criadas ou apoiadas pelas atividades custeadas por recursos privados. (</w:t>
            </w:r>
            <w:proofErr w:type="gramStart"/>
            <w:r w:rsidRPr="008210F6">
              <w:rPr>
                <w:rFonts w:ascii="Cambria" w:hAnsi="Cambria" w:cs="Arial"/>
                <w:i/>
                <w:szCs w:val="24"/>
              </w:rPr>
              <w:t>destacamos)</w:t>
            </w:r>
            <w:r w:rsidR="008210F6">
              <w:rPr>
                <w:rFonts w:ascii="Cambria" w:hAnsi="Cambria" w:cs="Arial"/>
                <w:i/>
                <w:szCs w:val="24"/>
              </w:rPr>
              <w:t>”</w:t>
            </w:r>
            <w:proofErr w:type="gramEnd"/>
            <w:r w:rsidR="008210F6">
              <w:rPr>
                <w:rFonts w:ascii="Cambria" w:hAnsi="Cambria" w:cs="Arial"/>
                <w:i/>
                <w:szCs w:val="24"/>
              </w:rPr>
              <w:t>.</w:t>
            </w:r>
          </w:p>
          <w:p w:rsidR="006B0094" w:rsidRPr="00F453F9" w:rsidRDefault="006B0094" w:rsidP="006B0094">
            <w:pPr>
              <w:spacing w:line="360" w:lineRule="auto"/>
              <w:ind w:firstLine="1077"/>
              <w:jc w:val="both"/>
              <w:rPr>
                <w:rFonts w:ascii="Cambria" w:hAnsi="Cambria" w:cs="Arial"/>
                <w:sz w:val="24"/>
                <w:szCs w:val="24"/>
              </w:rPr>
            </w:pPr>
          </w:p>
          <w:p w:rsidR="006B0094" w:rsidRPr="00F453F9" w:rsidRDefault="006B0094" w:rsidP="006B0094">
            <w:pPr>
              <w:spacing w:line="360" w:lineRule="auto"/>
              <w:ind w:firstLine="1077"/>
              <w:jc w:val="both"/>
              <w:rPr>
                <w:rFonts w:ascii="Cambria" w:hAnsi="Cambria" w:cs="Arial"/>
                <w:sz w:val="24"/>
                <w:szCs w:val="24"/>
              </w:rPr>
            </w:pPr>
            <w:r w:rsidRPr="00F453F9">
              <w:rPr>
                <w:rFonts w:ascii="Cambria" w:hAnsi="Cambria" w:cs="Arial"/>
                <w:sz w:val="24"/>
                <w:szCs w:val="24"/>
              </w:rPr>
              <w:t xml:space="preserve">Em 2012, o Tribunal de Contas da União reafirmou a natureza privada da compensação ambiental, no Processo TC 014.293/2012-9, afirmando que “os empreendedores realizam não é um pagamento e sim uma disponibilização de certo montante de recursos a ser alocado nas ações relacionadas à compensação ambiental”. Com referência aos valores da Compensação Ambiental destinados às unidades de conservação federal, administradas pelo Instituto Chico Mendes, o TCU afirmou que </w:t>
            </w:r>
            <w:proofErr w:type="gramStart"/>
            <w:r w:rsidRPr="00F453F9">
              <w:rPr>
                <w:rFonts w:ascii="Cambria" w:hAnsi="Cambria" w:cs="Arial"/>
                <w:sz w:val="24"/>
                <w:szCs w:val="24"/>
              </w:rPr>
              <w:t>“...</w:t>
            </w:r>
            <w:proofErr w:type="gramEnd"/>
            <w:r w:rsidRPr="00F453F9">
              <w:rPr>
                <w:rFonts w:ascii="Cambria" w:hAnsi="Cambria" w:cs="Arial"/>
                <w:sz w:val="24"/>
                <w:szCs w:val="24"/>
              </w:rPr>
              <w:t xml:space="preserve">não se constituem receitas públicas em sentido estrito (orçamentário) mas apenas ingressos </w:t>
            </w:r>
            <w:proofErr w:type="spellStart"/>
            <w:r w:rsidRPr="00F453F9">
              <w:rPr>
                <w:rFonts w:ascii="Cambria" w:hAnsi="Cambria" w:cs="Arial"/>
                <w:sz w:val="24"/>
                <w:szCs w:val="24"/>
              </w:rPr>
              <w:t>extraorçamentários</w:t>
            </w:r>
            <w:proofErr w:type="spellEnd"/>
            <w:r w:rsidRPr="00F453F9">
              <w:rPr>
                <w:rFonts w:ascii="Cambria" w:hAnsi="Cambria" w:cs="Arial"/>
                <w:sz w:val="24"/>
                <w:szCs w:val="24"/>
              </w:rPr>
              <w:t xml:space="preserve"> que transitam temporariamente pelas contas escriturais junto à Caixa Econômica Federal até serem aplicados nas ações de compensação ambiental”. (grifamos)</w:t>
            </w:r>
          </w:p>
          <w:p w:rsidR="006B0094" w:rsidRPr="00F453F9" w:rsidRDefault="006B0094" w:rsidP="006B0094">
            <w:pPr>
              <w:spacing w:line="360" w:lineRule="auto"/>
              <w:ind w:firstLine="1077"/>
              <w:jc w:val="both"/>
              <w:rPr>
                <w:rFonts w:ascii="Cambria" w:hAnsi="Cambria" w:cs="Arial"/>
                <w:sz w:val="24"/>
                <w:szCs w:val="24"/>
              </w:rPr>
            </w:pPr>
            <w:r w:rsidRPr="00F453F9">
              <w:rPr>
                <w:rFonts w:ascii="Cambria" w:hAnsi="Cambria" w:cs="Arial"/>
                <w:sz w:val="24"/>
                <w:szCs w:val="24"/>
              </w:rPr>
              <w:t xml:space="preserve">O </w:t>
            </w:r>
            <w:proofErr w:type="spellStart"/>
            <w:proofErr w:type="gramStart"/>
            <w:r w:rsidRPr="00F453F9">
              <w:rPr>
                <w:rFonts w:ascii="Cambria" w:hAnsi="Cambria" w:cs="Arial"/>
                <w:sz w:val="24"/>
                <w:szCs w:val="24"/>
              </w:rPr>
              <w:t>ICMBio</w:t>
            </w:r>
            <w:proofErr w:type="spellEnd"/>
            <w:proofErr w:type="gramEnd"/>
            <w:r w:rsidRPr="00F453F9">
              <w:rPr>
                <w:rFonts w:ascii="Cambria" w:hAnsi="Cambria" w:cs="Arial"/>
                <w:sz w:val="24"/>
                <w:szCs w:val="24"/>
              </w:rPr>
              <w:t xml:space="preserve">, por força do efeito suspensivo num recurso impetrado contra essa Decisão do TCU, manteve a prática da aplicação indireta do recurso da Compensação </w:t>
            </w:r>
            <w:r w:rsidRPr="00F453F9">
              <w:rPr>
                <w:rFonts w:ascii="Cambria" w:hAnsi="Cambria" w:cs="Arial"/>
                <w:sz w:val="24"/>
                <w:szCs w:val="24"/>
              </w:rPr>
              <w:lastRenderedPageBreak/>
              <w:t>Ambiental até 27.04.2016, quando o Acórdão no 1004/2016, na análise do Art. 36 da Lei no 9.985/2000 que trata da Compensação Ambiental, determinou:</w:t>
            </w:r>
          </w:p>
          <w:p w:rsidR="006B0094" w:rsidRPr="008210F6" w:rsidRDefault="006B0094" w:rsidP="008210F6">
            <w:pPr>
              <w:ind w:left="2816"/>
              <w:jc w:val="both"/>
              <w:rPr>
                <w:rFonts w:ascii="Cambria" w:hAnsi="Cambria" w:cs="Arial"/>
                <w:i/>
                <w:szCs w:val="24"/>
              </w:rPr>
            </w:pPr>
            <w:r w:rsidRPr="008210F6">
              <w:rPr>
                <w:rFonts w:ascii="Cambria" w:hAnsi="Cambria" w:cs="Arial"/>
                <w:i/>
                <w:szCs w:val="24"/>
              </w:rPr>
              <w:t xml:space="preserve">Note-se que a norma não cria prestação pecuniária compulsória, decorrente ou não da prática de ato ilícito, nem impõe obrigação de pagar ou recolher qualquer quantia aos cofres dos órgãos de licenciamento ambiental ou das chamadas unidades de conservação, a serem geridos e aplicados pelos órgãos públicos nas finalidades previstas na lei. </w:t>
            </w:r>
          </w:p>
          <w:p w:rsidR="006B0094" w:rsidRPr="008210F6" w:rsidRDefault="006B0094" w:rsidP="008210F6">
            <w:pPr>
              <w:ind w:left="2816"/>
              <w:jc w:val="both"/>
              <w:rPr>
                <w:rFonts w:ascii="Cambria" w:hAnsi="Cambria" w:cs="Arial"/>
                <w:i/>
                <w:szCs w:val="24"/>
              </w:rPr>
            </w:pPr>
            <w:r w:rsidRPr="008210F6">
              <w:rPr>
                <w:rFonts w:ascii="Cambria" w:hAnsi="Cambria" w:cs="Arial"/>
                <w:i/>
                <w:szCs w:val="24"/>
              </w:rPr>
              <w:t xml:space="preserve">Também não confere ao órgão de licenciamento ambiental prerrogativa de promover, a título de compensação ambiental, cobrança, arrecadação, gerenciamento ou aplicação de qualquer valor. </w:t>
            </w:r>
          </w:p>
          <w:p w:rsidR="006B0094" w:rsidRPr="008210F6" w:rsidRDefault="006B0094" w:rsidP="008210F6">
            <w:pPr>
              <w:ind w:left="2816"/>
              <w:jc w:val="both"/>
              <w:rPr>
                <w:rFonts w:ascii="Cambria" w:hAnsi="Cambria" w:cs="Arial"/>
                <w:i/>
                <w:szCs w:val="24"/>
              </w:rPr>
            </w:pPr>
            <w:r w:rsidRPr="008210F6">
              <w:rPr>
                <w:rFonts w:ascii="Cambria" w:hAnsi="Cambria" w:cs="Arial"/>
                <w:i/>
                <w:szCs w:val="24"/>
              </w:rPr>
              <w:t xml:space="preserve">A compensação ambiental a cargo do empreendedor, embora mensurável economicamente, não se confunde com ônus de recolher recursos financeiros a contas geridas pelos gestores das unidades de conservação. </w:t>
            </w:r>
          </w:p>
          <w:p w:rsidR="006B0094" w:rsidRPr="008210F6" w:rsidRDefault="006B0094" w:rsidP="008210F6">
            <w:pPr>
              <w:ind w:left="2816"/>
              <w:jc w:val="both"/>
              <w:rPr>
                <w:rFonts w:ascii="Cambria" w:hAnsi="Cambria" w:cs="Arial"/>
                <w:i/>
                <w:szCs w:val="24"/>
              </w:rPr>
            </w:pPr>
            <w:r w:rsidRPr="008210F6">
              <w:rPr>
                <w:rFonts w:ascii="Cambria" w:hAnsi="Cambria" w:cs="Arial"/>
                <w:i/>
                <w:szCs w:val="24"/>
              </w:rPr>
              <w:t xml:space="preserve">A lei prevê ao agente econômico cuja atividade produz impactos significativos ao meio ambiente uma única obrigação, de fazer, consistente no apoio à implantação e à manutenção de unidade de conservação. </w:t>
            </w:r>
          </w:p>
          <w:p w:rsidR="006B0094" w:rsidRPr="008210F6" w:rsidRDefault="006B0094" w:rsidP="008210F6">
            <w:pPr>
              <w:ind w:left="2816"/>
              <w:jc w:val="both"/>
              <w:rPr>
                <w:rFonts w:ascii="Cambria" w:hAnsi="Cambria" w:cs="Arial"/>
                <w:i/>
                <w:szCs w:val="24"/>
              </w:rPr>
            </w:pPr>
            <w:r w:rsidRPr="008210F6">
              <w:rPr>
                <w:rFonts w:ascii="Cambria" w:hAnsi="Cambria" w:cs="Arial"/>
                <w:i/>
                <w:szCs w:val="24"/>
              </w:rPr>
              <w:t>A obrigação do empreendedor não pode ser reduzida à obrigação de pagar valor. Cabe a ele apoiar efetivamente a implantação e manutenção de unidades de conservação, destinando a isso recursos próprios, mensuráveis economicamente, até o limite previsto em lei. Vale dizer, cabe a ele agir diretamente para implantar e/ou manter tais unidades.</w:t>
            </w:r>
          </w:p>
          <w:p w:rsidR="006B0094" w:rsidRPr="008210F6" w:rsidRDefault="006B0094" w:rsidP="008210F6">
            <w:pPr>
              <w:pStyle w:val="TCU-RelVoto-1"/>
              <w:spacing w:after="0"/>
              <w:ind w:left="2816" w:firstLine="0"/>
              <w:rPr>
                <w:rFonts w:ascii="Cambria" w:eastAsia="Calibri" w:hAnsi="Cambria" w:cs="Arial"/>
                <w:i/>
                <w:sz w:val="22"/>
                <w:szCs w:val="24"/>
                <w:lang w:eastAsia="zh-CN"/>
              </w:rPr>
            </w:pPr>
            <w:r w:rsidRPr="008210F6">
              <w:rPr>
                <w:rFonts w:ascii="Cambria" w:eastAsia="Calibri" w:hAnsi="Cambria" w:cs="Arial"/>
                <w:i/>
                <w:sz w:val="22"/>
                <w:szCs w:val="24"/>
                <w:lang w:eastAsia="zh-CN"/>
              </w:rPr>
              <w:t>Não lhe é facultado repassar recursos finaceiros a órgãos estatais para que estes cumpram a obrigação em seu lugar. A obrigação legal deve ser cumprida diretamente pelo empreendedor, destinatário da lei.</w:t>
            </w:r>
          </w:p>
          <w:p w:rsidR="006B0094" w:rsidRPr="008210F6" w:rsidRDefault="006B0094" w:rsidP="008210F6">
            <w:pPr>
              <w:pStyle w:val="TCU-RelVoto-1"/>
              <w:spacing w:after="0"/>
              <w:ind w:left="2816" w:firstLine="0"/>
              <w:rPr>
                <w:rFonts w:ascii="Cambria" w:eastAsia="Calibri" w:hAnsi="Cambria" w:cs="Arial"/>
                <w:i/>
                <w:sz w:val="22"/>
                <w:szCs w:val="24"/>
                <w:lang w:eastAsia="zh-CN"/>
              </w:rPr>
            </w:pPr>
            <w:r w:rsidRPr="008210F6">
              <w:rPr>
                <w:rFonts w:ascii="Cambria" w:eastAsia="Calibri" w:hAnsi="Cambria" w:cs="Arial"/>
                <w:i/>
                <w:sz w:val="22"/>
                <w:szCs w:val="24"/>
                <w:lang w:eastAsia="zh-CN"/>
              </w:rPr>
              <w:t>Ao órgão de licenciamento ambiental, a lei é bem clara, cabe apenas definir o montante a ser empregado pelo empreendedor e as unidades de conservação que serão beneficiadas, melhor dizer, apoiadas, pelas atividades custeadas pelos recursos privados.</w:t>
            </w:r>
          </w:p>
          <w:p w:rsidR="006B0094" w:rsidRPr="008210F6" w:rsidRDefault="006B0094" w:rsidP="008210F6">
            <w:pPr>
              <w:pStyle w:val="TCU-RelVoto-1"/>
              <w:spacing w:after="0"/>
              <w:ind w:left="2816" w:firstLine="0"/>
              <w:rPr>
                <w:rFonts w:ascii="Cambria" w:eastAsia="Calibri" w:hAnsi="Cambria" w:cs="Arial"/>
                <w:i/>
                <w:sz w:val="22"/>
                <w:szCs w:val="24"/>
                <w:lang w:eastAsia="zh-CN"/>
              </w:rPr>
            </w:pPr>
            <w:r w:rsidRPr="008210F6">
              <w:rPr>
                <w:rFonts w:ascii="Cambria" w:eastAsia="Calibri" w:hAnsi="Cambria" w:cs="Arial"/>
                <w:i/>
                <w:sz w:val="22"/>
                <w:szCs w:val="24"/>
                <w:lang w:eastAsia="zh-CN"/>
              </w:rPr>
              <w:t>(...)</w:t>
            </w:r>
          </w:p>
          <w:p w:rsidR="006B0094" w:rsidRPr="008210F6" w:rsidRDefault="006B0094" w:rsidP="008210F6">
            <w:pPr>
              <w:pStyle w:val="TCU-RelVoto-1"/>
              <w:spacing w:after="0"/>
              <w:ind w:left="2816" w:firstLine="0"/>
              <w:rPr>
                <w:rFonts w:ascii="Cambria" w:eastAsia="Calibri" w:hAnsi="Cambria" w:cs="Arial"/>
                <w:i/>
                <w:sz w:val="22"/>
                <w:szCs w:val="24"/>
                <w:lang w:eastAsia="zh-CN"/>
              </w:rPr>
            </w:pPr>
            <w:r w:rsidRPr="008210F6">
              <w:rPr>
                <w:rFonts w:ascii="Cambria" w:eastAsia="Calibri" w:hAnsi="Cambria" w:cs="Arial"/>
                <w:i/>
                <w:sz w:val="22"/>
                <w:szCs w:val="24"/>
                <w:lang w:eastAsia="zh-CN"/>
              </w:rPr>
              <w:t>Para tanto, no caso de empreendimentos privados, os valores devidos a título de compensação ambiental não ingressam no erário, permanecendo como recursos privados, a serem geridos pelos próprios empreendedores, com o fim de atender as demandas da Entidade. Em decorrência, por não serem contabilizados como receita pública, entendida nos termos do § 1o do art. 2o do Decreto 93.872, de 23 de dezembro de 1986, não se sujeitam às normas que disciplinam a aplicação dos recursos públicos. (destacamos)</w:t>
            </w:r>
          </w:p>
          <w:p w:rsidR="006B0094" w:rsidRPr="00F453F9" w:rsidRDefault="006B0094" w:rsidP="006B0094">
            <w:pPr>
              <w:spacing w:line="360" w:lineRule="auto"/>
              <w:ind w:firstLine="1077"/>
              <w:jc w:val="both"/>
              <w:rPr>
                <w:rFonts w:ascii="Cambria" w:hAnsi="Cambria" w:cs="Arial"/>
                <w:sz w:val="24"/>
                <w:szCs w:val="24"/>
              </w:rPr>
            </w:pPr>
          </w:p>
          <w:p w:rsidR="00CE56CB" w:rsidRDefault="006B0094" w:rsidP="006B0094">
            <w:pPr>
              <w:spacing w:line="360" w:lineRule="auto"/>
              <w:ind w:firstLine="1077"/>
              <w:jc w:val="both"/>
              <w:rPr>
                <w:rFonts w:ascii="Cambria" w:hAnsi="Cambria" w:cs="Arial"/>
                <w:sz w:val="24"/>
                <w:szCs w:val="24"/>
              </w:rPr>
            </w:pPr>
            <w:r w:rsidRPr="00F453F9">
              <w:rPr>
                <w:rFonts w:ascii="Cambria" w:hAnsi="Cambria" w:cs="Arial"/>
                <w:sz w:val="24"/>
                <w:szCs w:val="24"/>
              </w:rPr>
              <w:t xml:space="preserve">O Supremo Tribunal Federal já reconheceu, por duas vezes, a natureza privada dos </w:t>
            </w:r>
            <w:r w:rsidRPr="00F453F9">
              <w:rPr>
                <w:rFonts w:ascii="Cambria" w:hAnsi="Cambria" w:cs="Arial"/>
                <w:sz w:val="24"/>
                <w:szCs w:val="24"/>
              </w:rPr>
              <w:lastRenderedPageBreak/>
              <w:t>recursos da Compensação Ambiental. Na Suspensão de Segurança n</w:t>
            </w:r>
            <w:r w:rsidR="00CE56CB">
              <w:rPr>
                <w:rFonts w:ascii="Cambria" w:hAnsi="Cambria" w:cs="Arial"/>
                <w:sz w:val="24"/>
                <w:szCs w:val="24"/>
              </w:rPr>
              <w:t>º</w:t>
            </w:r>
            <w:r w:rsidRPr="00F453F9">
              <w:rPr>
                <w:rFonts w:ascii="Cambria" w:hAnsi="Cambria" w:cs="Arial"/>
                <w:sz w:val="24"/>
                <w:szCs w:val="24"/>
              </w:rPr>
              <w:t xml:space="preserve"> 2.875-DF, a Relatora Ministra Ellen Gracie, citando Paulo Afonso Leme Machado, diz que</w:t>
            </w:r>
            <w:r w:rsidR="00CE56CB">
              <w:rPr>
                <w:rFonts w:ascii="Cambria" w:hAnsi="Cambria" w:cs="Arial"/>
                <w:sz w:val="24"/>
                <w:szCs w:val="24"/>
              </w:rPr>
              <w:t>:</w:t>
            </w:r>
          </w:p>
          <w:p w:rsidR="006B0094" w:rsidRPr="00CE56CB" w:rsidRDefault="006B0094" w:rsidP="00CE56CB">
            <w:pPr>
              <w:spacing w:line="360" w:lineRule="auto"/>
              <w:ind w:left="2816"/>
              <w:jc w:val="both"/>
              <w:rPr>
                <w:rFonts w:ascii="Cambria" w:hAnsi="Cambria" w:cs="Arial"/>
                <w:szCs w:val="24"/>
              </w:rPr>
            </w:pPr>
            <w:r w:rsidRPr="00CE56CB">
              <w:rPr>
                <w:rFonts w:ascii="Cambria" w:hAnsi="Cambria" w:cs="Arial"/>
                <w:i/>
                <w:sz w:val="20"/>
                <w:szCs w:val="24"/>
              </w:rPr>
              <w:t xml:space="preserve"> “</w:t>
            </w:r>
            <w:r w:rsidR="00CE56CB" w:rsidRPr="00CE56CB">
              <w:rPr>
                <w:rFonts w:ascii="Cambria" w:hAnsi="Cambria" w:cs="Arial"/>
                <w:i/>
                <w:sz w:val="20"/>
                <w:szCs w:val="24"/>
              </w:rPr>
              <w:t>O</w:t>
            </w:r>
            <w:r w:rsidRPr="00CE56CB">
              <w:rPr>
                <w:rFonts w:ascii="Cambria" w:hAnsi="Cambria" w:cs="Arial"/>
                <w:i/>
                <w:sz w:val="20"/>
                <w:szCs w:val="24"/>
              </w:rPr>
              <w:t xml:space="preserve"> dever legal do empreendedor de efetuar o pagamento da compensação ambiental deriva do fato de seu empreendimento ter a potencialidade de causar impacto significativo ao meio ambiente, independente de atribuição de culpa (Direito Ambiental Brasileiro, São Paulo: Malheiros, 13a ed. 2005, p.788)</w:t>
            </w:r>
            <w:r w:rsidR="00CE56CB" w:rsidRPr="00CE56CB">
              <w:rPr>
                <w:rFonts w:ascii="Cambria" w:hAnsi="Cambria" w:cs="Arial"/>
                <w:i/>
                <w:sz w:val="20"/>
                <w:szCs w:val="24"/>
              </w:rPr>
              <w:t>.</w:t>
            </w:r>
            <w:r w:rsidRPr="00CE56CB">
              <w:rPr>
                <w:rFonts w:ascii="Cambria" w:hAnsi="Cambria" w:cs="Arial"/>
                <w:i/>
                <w:sz w:val="20"/>
                <w:szCs w:val="24"/>
              </w:rPr>
              <w:t xml:space="preserve">” </w:t>
            </w:r>
            <w:proofErr w:type="gramStart"/>
            <w:r w:rsidRPr="00CE56CB">
              <w:rPr>
                <w:rFonts w:ascii="Cambria" w:hAnsi="Cambria" w:cs="Arial"/>
                <w:i/>
                <w:sz w:val="20"/>
                <w:szCs w:val="24"/>
              </w:rPr>
              <w:footnoteReference w:id="1"/>
            </w:r>
            <w:proofErr w:type="gramEnd"/>
          </w:p>
          <w:p w:rsidR="00CE56CB" w:rsidRPr="00CE56CB" w:rsidRDefault="006B0094" w:rsidP="00CE56CB">
            <w:pPr>
              <w:spacing w:line="360" w:lineRule="auto"/>
              <w:ind w:left="-19" w:firstLine="1134"/>
              <w:jc w:val="both"/>
              <w:rPr>
                <w:rFonts w:ascii="Cambria" w:hAnsi="Cambria" w:cs="Arial"/>
                <w:i/>
                <w:sz w:val="20"/>
                <w:szCs w:val="24"/>
              </w:rPr>
            </w:pPr>
            <w:r w:rsidRPr="00F453F9">
              <w:rPr>
                <w:rFonts w:ascii="Cambria" w:hAnsi="Cambria" w:cs="Arial"/>
                <w:sz w:val="24"/>
                <w:szCs w:val="24"/>
              </w:rPr>
              <w:t>Na Ação Direta de Inconstitucionalidade no 3.378-6, o Relator Ministro Carlos Ayres Britto afirma que</w:t>
            </w:r>
            <w:r w:rsidR="00CE56CB">
              <w:rPr>
                <w:rFonts w:ascii="Cambria" w:hAnsi="Cambria" w:cs="Arial"/>
                <w:sz w:val="24"/>
                <w:szCs w:val="24"/>
              </w:rPr>
              <w:t>:</w:t>
            </w:r>
          </w:p>
          <w:p w:rsidR="006B0094" w:rsidRPr="00CE56CB" w:rsidRDefault="006B0094" w:rsidP="00CE56CB">
            <w:pPr>
              <w:spacing w:line="360" w:lineRule="auto"/>
              <w:ind w:left="2816"/>
              <w:jc w:val="both"/>
              <w:rPr>
                <w:rFonts w:ascii="Cambria" w:hAnsi="Cambria" w:cs="Arial"/>
                <w:i/>
                <w:sz w:val="20"/>
                <w:szCs w:val="24"/>
              </w:rPr>
            </w:pPr>
            <w:r w:rsidRPr="00CE56CB">
              <w:rPr>
                <w:rFonts w:ascii="Cambria" w:hAnsi="Cambria" w:cs="Arial"/>
                <w:i/>
                <w:sz w:val="20"/>
                <w:szCs w:val="24"/>
              </w:rPr>
              <w:t xml:space="preserve"> “...</w:t>
            </w:r>
            <w:r w:rsidR="00CE56CB" w:rsidRPr="00CE56CB">
              <w:rPr>
                <w:rFonts w:ascii="Cambria" w:hAnsi="Cambria" w:cs="Arial"/>
                <w:i/>
                <w:sz w:val="20"/>
                <w:szCs w:val="24"/>
              </w:rPr>
              <w:t xml:space="preserve"> </w:t>
            </w:r>
            <w:r w:rsidRPr="00CE56CB">
              <w:rPr>
                <w:rFonts w:ascii="Cambria" w:hAnsi="Cambria" w:cs="Arial"/>
                <w:i/>
                <w:sz w:val="20"/>
                <w:szCs w:val="24"/>
              </w:rPr>
              <w:t>não há outro meio eficaz para atingir essa finalidade constitucional senão impondo ao empreendedor o dever de arcar, ao menos em parte, com os custos da prevenção, controle e reparação dos impactos negativos ao meio ambiente (...) porque o encargo financeiro imposto (a compensação ambiental) é amplamente compensado pelos benefícios que sempre resultam de um meio ambiente ecologicamente garantido em sua higidez”.</w:t>
            </w:r>
            <w:proofErr w:type="gramStart"/>
            <w:r w:rsidRPr="00CE56CB">
              <w:rPr>
                <w:rFonts w:ascii="Cambria" w:hAnsi="Cambria"/>
                <w:i/>
                <w:sz w:val="20"/>
                <w:szCs w:val="24"/>
              </w:rPr>
              <w:footnoteReference w:id="2"/>
            </w:r>
            <w:proofErr w:type="gramEnd"/>
          </w:p>
          <w:p w:rsidR="006B0094" w:rsidRPr="00F453F9" w:rsidRDefault="006B0094" w:rsidP="006B0094">
            <w:pPr>
              <w:pStyle w:val="TCU-Epgrafe"/>
              <w:spacing w:line="360" w:lineRule="auto"/>
              <w:ind w:left="0" w:firstLine="1077"/>
              <w:rPr>
                <w:rFonts w:ascii="Cambria" w:eastAsia="Calibri" w:hAnsi="Cambria" w:cs="Arial"/>
                <w:szCs w:val="24"/>
                <w:lang w:eastAsia="zh-CN"/>
              </w:rPr>
            </w:pPr>
            <w:r w:rsidRPr="00F453F9">
              <w:rPr>
                <w:rFonts w:ascii="Cambria" w:eastAsia="Calibri" w:hAnsi="Cambria" w:cs="Arial"/>
                <w:szCs w:val="24"/>
                <w:lang w:eastAsia="zh-CN"/>
              </w:rPr>
              <w:t>A partir deste Acórdão o Instituto Chico Mendes passou a exigir a aplicação direta da Compensação Ambiental pelos empreendedores.</w:t>
            </w:r>
          </w:p>
          <w:p w:rsidR="006B0094" w:rsidRPr="00F453F9" w:rsidRDefault="006B0094" w:rsidP="006B0094">
            <w:pPr>
              <w:pStyle w:val="TCU-Epgrafe"/>
              <w:spacing w:line="360" w:lineRule="auto"/>
              <w:ind w:left="0" w:firstLine="1077"/>
              <w:rPr>
                <w:rFonts w:ascii="Cambria" w:eastAsia="Calibri" w:hAnsi="Cambria" w:cs="Arial"/>
                <w:szCs w:val="24"/>
                <w:lang w:eastAsia="zh-CN"/>
              </w:rPr>
            </w:pPr>
            <w:r w:rsidRPr="00F453F9">
              <w:rPr>
                <w:rFonts w:ascii="Cambria" w:eastAsia="Calibri" w:hAnsi="Cambria" w:cs="Arial"/>
                <w:szCs w:val="24"/>
                <w:lang w:eastAsia="zh-CN"/>
              </w:rPr>
              <w:t xml:space="preserve">Alguns órgãos estaduais de meio ambiente continuam utilizando a aplicação indireta, através de Fundos ou Contas Vinculadas. Isso ocorre porque as </w:t>
            </w:r>
            <w:proofErr w:type="spellStart"/>
            <w:r w:rsidRPr="00F453F9">
              <w:rPr>
                <w:rFonts w:ascii="Cambria" w:eastAsia="Calibri" w:hAnsi="Cambria" w:cs="Arial"/>
                <w:szCs w:val="24"/>
                <w:lang w:eastAsia="zh-CN"/>
              </w:rPr>
              <w:t>OEMAs</w:t>
            </w:r>
            <w:proofErr w:type="spellEnd"/>
            <w:r w:rsidRPr="00F453F9">
              <w:rPr>
                <w:rFonts w:ascii="Cambria" w:eastAsia="Calibri" w:hAnsi="Cambria" w:cs="Arial"/>
                <w:szCs w:val="24"/>
                <w:lang w:eastAsia="zh-CN"/>
              </w:rPr>
              <w:t xml:space="preserve"> não estão sujeitas à fiscalização do Tribunal de Contas da União e os Tribunais de Contas dos Estados ainda não se manifestaram sobre a matéria.</w:t>
            </w:r>
          </w:p>
          <w:p w:rsidR="006B0094" w:rsidRPr="00F453F9" w:rsidRDefault="006B0094" w:rsidP="006B0094">
            <w:pPr>
              <w:pStyle w:val="TCU-Epgrafe"/>
              <w:spacing w:line="360" w:lineRule="auto"/>
              <w:ind w:left="0" w:firstLine="1077"/>
              <w:rPr>
                <w:rFonts w:ascii="Cambria" w:eastAsia="Calibri" w:hAnsi="Cambria" w:cs="Arial"/>
                <w:szCs w:val="24"/>
                <w:lang w:eastAsia="zh-CN"/>
              </w:rPr>
            </w:pPr>
            <w:r w:rsidRPr="00F453F9">
              <w:rPr>
                <w:rFonts w:ascii="Cambria" w:eastAsia="Calibri" w:hAnsi="Cambria" w:cs="Arial"/>
                <w:szCs w:val="24"/>
                <w:lang w:eastAsia="zh-CN"/>
              </w:rPr>
              <w:t>Portanto, desde logo, valemo-nos desta consulta para alertar o Instituto do Meio Ambiente de Alagoas - IMA/AL sobre a necessidade de procurar práticas alternativas para a cobrança e aplicação da compensação ambiental na atualização da legislação ambiental em curso.</w:t>
            </w:r>
          </w:p>
          <w:p w:rsidR="00CE56CB" w:rsidRDefault="00CE56CB" w:rsidP="004D3A27">
            <w:pPr>
              <w:spacing w:line="360" w:lineRule="auto"/>
              <w:ind w:hanging="19"/>
              <w:jc w:val="center"/>
              <w:rPr>
                <w:rFonts w:ascii="Cambria" w:hAnsi="Cambria" w:cs="Arial"/>
                <w:b/>
                <w:sz w:val="24"/>
                <w:szCs w:val="24"/>
              </w:rPr>
            </w:pPr>
          </w:p>
          <w:p w:rsidR="00CC742F" w:rsidRPr="00CE56CB" w:rsidRDefault="00CC742F" w:rsidP="004D3A27">
            <w:pPr>
              <w:spacing w:line="360" w:lineRule="auto"/>
              <w:ind w:hanging="19"/>
              <w:jc w:val="center"/>
              <w:rPr>
                <w:rFonts w:ascii="Cambria" w:hAnsi="Cambria" w:cs="Arial"/>
                <w:b/>
                <w:sz w:val="24"/>
                <w:szCs w:val="24"/>
              </w:rPr>
            </w:pPr>
            <w:r w:rsidRPr="00CE56CB">
              <w:rPr>
                <w:rFonts w:ascii="Cambria" w:hAnsi="Cambria" w:cs="Arial"/>
                <w:b/>
                <w:sz w:val="24"/>
                <w:szCs w:val="24"/>
              </w:rPr>
              <w:lastRenderedPageBreak/>
              <w:t>III – CONCLUSÃO</w:t>
            </w:r>
          </w:p>
          <w:p w:rsidR="00CE56CB" w:rsidRPr="00CE56CB" w:rsidRDefault="00CE56CB" w:rsidP="00CE56CB">
            <w:pPr>
              <w:pStyle w:val="TCU-Epgrafe"/>
              <w:spacing w:line="360" w:lineRule="auto"/>
              <w:ind w:left="0" w:firstLine="1077"/>
              <w:rPr>
                <w:rFonts w:ascii="Cambria" w:eastAsia="Calibri" w:hAnsi="Cambria" w:cs="Arial"/>
                <w:szCs w:val="24"/>
                <w:lang w:eastAsia="zh-CN"/>
              </w:rPr>
            </w:pPr>
            <w:r w:rsidRPr="00CE56CB">
              <w:rPr>
                <w:rFonts w:ascii="Cambria" w:eastAsia="Calibri" w:hAnsi="Cambria" w:cs="Arial"/>
                <w:szCs w:val="24"/>
                <w:lang w:eastAsia="zh-CN"/>
              </w:rPr>
              <w:t xml:space="preserve">Para responder objetivamente a consulta formulada partimos da definição que a Compensação Ambiental é uma retribuição pecuniária (ou de serviços) pela utilização de recursos naturais. </w:t>
            </w:r>
          </w:p>
          <w:p w:rsidR="00CE56CB" w:rsidRPr="00CE56CB" w:rsidRDefault="00CE56CB" w:rsidP="00CE56CB">
            <w:pPr>
              <w:pStyle w:val="TCU-Epgrafe"/>
              <w:spacing w:line="360" w:lineRule="auto"/>
              <w:ind w:left="0" w:firstLine="1077"/>
              <w:rPr>
                <w:rFonts w:ascii="Cambria" w:eastAsia="Calibri" w:hAnsi="Cambria" w:cs="Arial"/>
                <w:szCs w:val="24"/>
                <w:lang w:eastAsia="zh-CN"/>
              </w:rPr>
            </w:pPr>
            <w:r w:rsidRPr="00CE56CB">
              <w:rPr>
                <w:rFonts w:ascii="Cambria" w:eastAsia="Calibri" w:hAnsi="Cambria" w:cs="Arial"/>
                <w:szCs w:val="24"/>
                <w:lang w:eastAsia="zh-CN"/>
              </w:rPr>
              <w:t>A Compensação Ambiental não é um tributo, pois não se enquadra em nenhuma de suas categorias: imposto, taxa ou contribuição de melhoria. Ademais, os recursos provenientes da compensação ambiental não caracterizam receita pública.</w:t>
            </w:r>
          </w:p>
          <w:p w:rsidR="00CE56CB" w:rsidRPr="00CE56CB" w:rsidRDefault="00CE56CB" w:rsidP="00CE56CB">
            <w:pPr>
              <w:pStyle w:val="TCU-Epgrafe"/>
              <w:spacing w:line="360" w:lineRule="auto"/>
              <w:ind w:left="0" w:firstLine="1077"/>
              <w:rPr>
                <w:rFonts w:ascii="Cambria" w:eastAsia="Calibri" w:hAnsi="Cambria" w:cs="Arial"/>
                <w:szCs w:val="24"/>
                <w:lang w:eastAsia="zh-CN"/>
              </w:rPr>
            </w:pPr>
            <w:r w:rsidRPr="00CE56CB">
              <w:rPr>
                <w:rFonts w:ascii="Cambria" w:eastAsia="Calibri" w:hAnsi="Cambria" w:cs="Arial"/>
                <w:szCs w:val="24"/>
                <w:lang w:eastAsia="zh-CN"/>
              </w:rPr>
              <w:t>Não sendo tributo, a Compensação Ambiental não está sujeita à imunidade recíproca das pessoas jurídicas de direito público prevista na Constituição Federal:</w:t>
            </w:r>
          </w:p>
          <w:p w:rsidR="00CE56CB" w:rsidRPr="00CE56CB" w:rsidRDefault="00CE56CB" w:rsidP="00CE56CB">
            <w:pPr>
              <w:shd w:val="clear" w:color="auto" w:fill="FFFFFF"/>
              <w:ind w:left="2816"/>
              <w:jc w:val="both"/>
              <w:rPr>
                <w:rFonts w:asciiTheme="majorHAnsi" w:hAnsiTheme="majorHAnsi" w:cs="Tahoma"/>
                <w:i/>
                <w:iCs/>
                <w:sz w:val="20"/>
                <w:lang w:val="pt-PT"/>
              </w:rPr>
            </w:pPr>
            <w:proofErr w:type="gramStart"/>
            <w:r w:rsidRPr="00CE56CB">
              <w:rPr>
                <w:rFonts w:asciiTheme="majorHAnsi" w:hAnsiTheme="majorHAnsi" w:cs="Tahoma"/>
                <w:i/>
                <w:iCs/>
                <w:sz w:val="20"/>
                <w:lang w:val="pt-PT"/>
              </w:rPr>
              <w:t>"Art. 19- É vedado à União, aos Estados, ao Distrito Federal e aos Municípios:</w:t>
            </w:r>
          </w:p>
          <w:p w:rsidR="00CE56CB" w:rsidRPr="00CE56CB" w:rsidRDefault="00CE56CB" w:rsidP="00CE56CB">
            <w:pPr>
              <w:shd w:val="clear" w:color="auto" w:fill="FFFFFF"/>
              <w:ind w:left="2816"/>
              <w:jc w:val="both"/>
              <w:rPr>
                <w:rFonts w:asciiTheme="majorHAnsi" w:hAnsiTheme="majorHAnsi" w:cs="Tahoma"/>
                <w:i/>
                <w:iCs/>
                <w:sz w:val="20"/>
                <w:lang w:val="pt-PT"/>
              </w:rPr>
            </w:pPr>
            <w:proofErr w:type="gramEnd"/>
            <w:r w:rsidRPr="00CE56CB">
              <w:rPr>
                <w:rFonts w:asciiTheme="majorHAnsi" w:hAnsiTheme="majorHAnsi" w:cs="Tahoma"/>
                <w:i/>
                <w:iCs/>
                <w:sz w:val="20"/>
                <w:lang w:val="pt-PT"/>
              </w:rPr>
              <w:t>(...)</w:t>
            </w:r>
          </w:p>
          <w:p w:rsidR="00CE56CB" w:rsidRPr="00CE56CB" w:rsidRDefault="00CE56CB" w:rsidP="00CE56CB">
            <w:pPr>
              <w:shd w:val="clear" w:color="auto" w:fill="FFFFFF"/>
              <w:ind w:left="2816"/>
              <w:jc w:val="both"/>
              <w:rPr>
                <w:rFonts w:asciiTheme="majorHAnsi" w:hAnsiTheme="majorHAnsi" w:cs="Tahoma"/>
                <w:i/>
                <w:iCs/>
                <w:sz w:val="20"/>
                <w:lang w:val="pt-PT"/>
              </w:rPr>
            </w:pPr>
            <w:r w:rsidRPr="00CE56CB">
              <w:rPr>
                <w:rFonts w:asciiTheme="majorHAnsi" w:hAnsiTheme="majorHAnsi" w:cs="Tahoma"/>
                <w:i/>
                <w:iCs/>
                <w:sz w:val="20"/>
                <w:lang w:val="pt-PT"/>
              </w:rPr>
              <w:t>III- instituir imposto sobre:</w:t>
            </w:r>
          </w:p>
          <w:p w:rsidR="00CE56CB" w:rsidRPr="00CE56CB" w:rsidRDefault="00CE56CB" w:rsidP="00CE56CB">
            <w:pPr>
              <w:shd w:val="clear" w:color="auto" w:fill="FFFFFF"/>
              <w:ind w:left="2816"/>
              <w:jc w:val="both"/>
              <w:rPr>
                <w:rFonts w:asciiTheme="majorHAnsi" w:hAnsiTheme="majorHAnsi" w:cs="Tahoma"/>
                <w:i/>
                <w:iCs/>
                <w:sz w:val="20"/>
                <w:lang w:val="pt-PT"/>
              </w:rPr>
            </w:pPr>
            <w:proofErr w:type="gramStart"/>
            <w:r w:rsidRPr="00CE56CB">
              <w:rPr>
                <w:rFonts w:asciiTheme="majorHAnsi" w:hAnsiTheme="majorHAnsi" w:cs="Tahoma"/>
                <w:i/>
                <w:iCs/>
                <w:sz w:val="20"/>
                <w:lang w:val="pt-PT"/>
              </w:rPr>
              <w:t>a</w:t>
            </w:r>
            <w:proofErr w:type="gramEnd"/>
            <w:r w:rsidRPr="00CE56CB">
              <w:rPr>
                <w:rFonts w:asciiTheme="majorHAnsi" w:hAnsiTheme="majorHAnsi" w:cs="Tahoma"/>
                <w:i/>
                <w:iCs/>
                <w:sz w:val="20"/>
                <w:lang w:val="pt-PT"/>
              </w:rPr>
              <w:t>)</w:t>
            </w:r>
            <w:r w:rsidRPr="00CE56CB">
              <w:rPr>
                <w:rFonts w:asciiTheme="majorHAnsi" w:hAnsiTheme="majorHAnsi" w:cs="Tahoma"/>
                <w:sz w:val="20"/>
                <w:lang w:val="pt-PT"/>
              </w:rPr>
              <w:t>   </w:t>
            </w:r>
            <w:r w:rsidRPr="00CE56CB">
              <w:rPr>
                <w:rFonts w:asciiTheme="majorHAnsi" w:hAnsiTheme="majorHAnsi" w:cs="Tahoma"/>
                <w:i/>
                <w:iCs/>
                <w:sz w:val="20"/>
                <w:lang w:val="pt-PT"/>
              </w:rPr>
              <w:t>o patrimônio, a rend</w:t>
            </w:r>
            <w:r w:rsidRPr="00CE56CB">
              <w:rPr>
                <w:rFonts w:asciiTheme="majorHAnsi" w:hAnsiTheme="majorHAnsi" w:cs="Tahoma"/>
                <w:i/>
                <w:iCs/>
                <w:sz w:val="20"/>
                <w:lang w:val="pt-PT"/>
              </w:rPr>
              <w:t>a ou os serviços uns dos outros”.</w:t>
            </w:r>
          </w:p>
          <w:p w:rsidR="00CE56CB" w:rsidRPr="00CE56CB" w:rsidRDefault="00CE56CB" w:rsidP="00CE56CB">
            <w:pPr>
              <w:pStyle w:val="TCU-Epgrafe"/>
              <w:spacing w:line="360" w:lineRule="auto"/>
              <w:ind w:left="0" w:firstLine="1077"/>
              <w:rPr>
                <w:rFonts w:ascii="Cambria" w:eastAsia="Calibri" w:hAnsi="Cambria" w:cs="Arial"/>
                <w:szCs w:val="24"/>
                <w:lang w:eastAsia="zh-CN"/>
              </w:rPr>
            </w:pPr>
            <w:r w:rsidRPr="00CE56CB">
              <w:rPr>
                <w:rFonts w:ascii="Cambria" w:eastAsia="Calibri" w:hAnsi="Cambria" w:cs="Arial"/>
                <w:szCs w:val="24"/>
                <w:lang w:eastAsia="zh-CN"/>
              </w:rPr>
              <w:t>A Compensação Ambiental igualmente não é a remuneração de qualquer serviço do Instituto do Meio Ambiente de Alagoas - IMA/AL colocado à disposição dos empreendedores, nem caracteriza pagamento pela utilização (ou deterioração) de recursos naturais, vez que estes são indisponíveis.</w:t>
            </w:r>
          </w:p>
          <w:p w:rsidR="00CE56CB" w:rsidRPr="00CE56CB" w:rsidRDefault="00CE56CB" w:rsidP="00CE56CB">
            <w:pPr>
              <w:pStyle w:val="TCU-Epgrafe"/>
              <w:spacing w:line="360" w:lineRule="auto"/>
              <w:ind w:left="0" w:firstLine="1077"/>
              <w:rPr>
                <w:rFonts w:ascii="Cambria" w:eastAsia="Calibri" w:hAnsi="Cambria" w:cs="Arial"/>
                <w:szCs w:val="24"/>
                <w:lang w:eastAsia="zh-CN"/>
              </w:rPr>
            </w:pPr>
            <w:r w:rsidRPr="00CE56CB">
              <w:rPr>
                <w:rFonts w:ascii="Cambria" w:eastAsia="Calibri" w:hAnsi="Cambria" w:cs="Arial"/>
                <w:szCs w:val="24"/>
                <w:lang w:eastAsia="zh-CN"/>
              </w:rPr>
              <w:t xml:space="preserve">Portanto, em resposta à indagação formulada pela Procuradoria Jurídica, entendemos que </w:t>
            </w:r>
            <w:r w:rsidRPr="00CE56CB">
              <w:rPr>
                <w:rFonts w:ascii="Cambria" w:eastAsia="Calibri" w:hAnsi="Cambria" w:cs="Arial"/>
                <w:b/>
                <w:szCs w:val="24"/>
                <w:lang w:eastAsia="zh-CN"/>
              </w:rPr>
              <w:t>não é possível dispensar órgãos públicos de qualquer esfera do cumprimento da Compensação Ambiental</w:t>
            </w:r>
            <w:r w:rsidRPr="00CE56CB">
              <w:rPr>
                <w:rFonts w:ascii="Cambria" w:eastAsia="Calibri" w:hAnsi="Cambria" w:cs="Arial"/>
                <w:szCs w:val="24"/>
                <w:lang w:eastAsia="zh-CN"/>
              </w:rPr>
              <w:t>, pois isto afrontaria a expressa disposição da Lei no 9.885, de 18 de julho de 2000, regra geral para a gestão das Unidades de Conservação no Brasil.</w:t>
            </w:r>
          </w:p>
          <w:p w:rsidR="00A130E9" w:rsidRPr="00F453F9" w:rsidRDefault="00A130E9" w:rsidP="00A130E9">
            <w:pPr>
              <w:spacing w:line="360" w:lineRule="auto"/>
              <w:ind w:firstLine="1819"/>
              <w:jc w:val="both"/>
              <w:rPr>
                <w:rFonts w:ascii="Cambria" w:hAnsi="Cambria" w:cs="Arial"/>
                <w:sz w:val="24"/>
                <w:szCs w:val="24"/>
              </w:rPr>
            </w:pPr>
            <w:r w:rsidRPr="00F453F9">
              <w:rPr>
                <w:rFonts w:ascii="Cambria" w:hAnsi="Cambria" w:cs="Arial"/>
                <w:sz w:val="24"/>
                <w:szCs w:val="24"/>
              </w:rPr>
              <w:t>É o parecer. Salvo melhor juízo.</w:t>
            </w:r>
          </w:p>
          <w:p w:rsidR="00405C2B" w:rsidRPr="00405C2B" w:rsidRDefault="00A130E9" w:rsidP="00405C2B">
            <w:pPr>
              <w:spacing w:after="0" w:line="360" w:lineRule="auto"/>
              <w:ind w:firstLine="1701"/>
              <w:jc w:val="both"/>
              <w:rPr>
                <w:rFonts w:ascii="Cambria" w:hAnsi="Cambria" w:cs="Arial"/>
                <w:sz w:val="24"/>
                <w:szCs w:val="24"/>
              </w:rPr>
            </w:pPr>
            <w:r w:rsidRPr="00A130E9">
              <w:rPr>
                <w:rFonts w:ascii="Cambria" w:hAnsi="Cambria" w:cs="Arial"/>
                <w:sz w:val="24"/>
                <w:szCs w:val="24"/>
              </w:rPr>
              <w:t xml:space="preserve">Informa-se </w:t>
            </w:r>
            <w:r>
              <w:rPr>
                <w:rFonts w:ascii="Cambria" w:hAnsi="Cambria" w:cs="Arial"/>
                <w:sz w:val="24"/>
                <w:szCs w:val="24"/>
              </w:rPr>
              <w:t xml:space="preserve">que este Parecer leva em consideração os aspectos da resposta à consulta formulada ao Dr. Curt </w:t>
            </w:r>
            <w:proofErr w:type="spellStart"/>
            <w:r>
              <w:rPr>
                <w:rFonts w:ascii="Cambria" w:hAnsi="Cambria" w:cs="Arial"/>
                <w:sz w:val="24"/>
                <w:szCs w:val="24"/>
              </w:rPr>
              <w:t>Trennepohl</w:t>
            </w:r>
            <w:proofErr w:type="spellEnd"/>
            <w:r>
              <w:rPr>
                <w:rFonts w:ascii="Cambria" w:hAnsi="Cambria" w:cs="Arial"/>
                <w:sz w:val="24"/>
                <w:szCs w:val="24"/>
              </w:rPr>
              <w:t xml:space="preserve">. </w:t>
            </w:r>
          </w:p>
          <w:p w:rsidR="00CC742F" w:rsidRDefault="00CC742F" w:rsidP="00CE56CB">
            <w:pPr>
              <w:spacing w:line="360" w:lineRule="auto"/>
              <w:ind w:firstLine="1819"/>
              <w:jc w:val="both"/>
              <w:rPr>
                <w:rFonts w:ascii="Cambria" w:hAnsi="Cambria"/>
                <w:sz w:val="24"/>
                <w:szCs w:val="24"/>
              </w:rPr>
            </w:pPr>
            <w:r>
              <w:rPr>
                <w:rFonts w:ascii="Cambria" w:hAnsi="Cambria"/>
                <w:sz w:val="24"/>
                <w:szCs w:val="24"/>
              </w:rPr>
              <w:t>Maceió/AL, 07 de novembro de 2017.</w:t>
            </w:r>
          </w:p>
          <w:p w:rsidR="00CE56CB" w:rsidRDefault="00CE56CB" w:rsidP="00CE56CB">
            <w:pPr>
              <w:spacing w:line="360" w:lineRule="auto"/>
              <w:ind w:firstLine="1819"/>
              <w:jc w:val="both"/>
              <w:rPr>
                <w:rFonts w:ascii="Cambria" w:hAnsi="Cambria"/>
                <w:sz w:val="24"/>
                <w:szCs w:val="24"/>
              </w:rPr>
            </w:pPr>
          </w:p>
          <w:p w:rsidR="00CC742F" w:rsidRPr="00CC742F" w:rsidRDefault="00CC742F" w:rsidP="00CC742F">
            <w:pPr>
              <w:tabs>
                <w:tab w:val="left" w:pos="2805"/>
              </w:tabs>
              <w:spacing w:after="0" w:line="240" w:lineRule="auto"/>
              <w:ind w:left="-567" w:right="-568" w:hanging="17"/>
              <w:contextualSpacing/>
              <w:jc w:val="center"/>
              <w:rPr>
                <w:rStyle w:val="Fontepargpadro1"/>
                <w:rFonts w:asciiTheme="majorHAnsi" w:hAnsiTheme="majorHAnsi" w:cs="Cambria"/>
                <w:b/>
                <w:color w:val="000000"/>
                <w:sz w:val="24"/>
              </w:rPr>
            </w:pPr>
            <w:r w:rsidRPr="00CC742F">
              <w:rPr>
                <w:rStyle w:val="Fontepargpadro1"/>
                <w:rFonts w:asciiTheme="majorHAnsi" w:hAnsiTheme="majorHAnsi" w:cs="Cambria"/>
                <w:b/>
                <w:color w:val="000000"/>
                <w:sz w:val="24"/>
              </w:rPr>
              <w:t>LUIZA MARIA MAYA DE O. CALHEIROS</w:t>
            </w:r>
          </w:p>
          <w:p w:rsidR="00CC742F" w:rsidRPr="00CC742F" w:rsidRDefault="00CC742F" w:rsidP="00CC742F">
            <w:pPr>
              <w:tabs>
                <w:tab w:val="left" w:pos="2805"/>
              </w:tabs>
              <w:spacing w:after="0" w:line="240" w:lineRule="auto"/>
              <w:ind w:left="-567" w:right="-568" w:hanging="17"/>
              <w:contextualSpacing/>
              <w:jc w:val="center"/>
              <w:rPr>
                <w:rStyle w:val="Fontepargpadro1"/>
                <w:rFonts w:asciiTheme="majorHAnsi" w:hAnsiTheme="majorHAnsi" w:cs="Cambria"/>
                <w:b/>
                <w:color w:val="000000"/>
                <w:sz w:val="24"/>
              </w:rPr>
            </w:pPr>
            <w:r w:rsidRPr="00CC742F">
              <w:rPr>
                <w:rStyle w:val="Fontepargpadro1"/>
                <w:rFonts w:asciiTheme="majorHAnsi" w:hAnsiTheme="majorHAnsi" w:cs="Cambria"/>
                <w:b/>
                <w:color w:val="000000"/>
                <w:sz w:val="24"/>
              </w:rPr>
              <w:t>COORDENADORA JURÍDICA – IMA/AL</w:t>
            </w:r>
          </w:p>
          <w:p w:rsidR="00CC742F" w:rsidRPr="00CD1826" w:rsidRDefault="00CC742F" w:rsidP="00CC742F">
            <w:pPr>
              <w:tabs>
                <w:tab w:val="left" w:pos="2805"/>
              </w:tabs>
              <w:spacing w:after="0" w:line="240" w:lineRule="auto"/>
              <w:ind w:left="-567" w:right="-568" w:hanging="17"/>
              <w:contextualSpacing/>
              <w:jc w:val="center"/>
              <w:rPr>
                <w:rFonts w:ascii="Cambria" w:eastAsia="Times New Roman" w:hAnsi="Cambria" w:cs="Arial"/>
                <w:b/>
                <w:sz w:val="24"/>
                <w:szCs w:val="24"/>
                <w:lang w:eastAsia="pt-BR"/>
              </w:rPr>
            </w:pPr>
            <w:r w:rsidRPr="00CC742F">
              <w:rPr>
                <w:rStyle w:val="Fontepargpadro1"/>
                <w:rFonts w:asciiTheme="majorHAnsi" w:hAnsiTheme="majorHAnsi" w:cs="Cambria"/>
                <w:b/>
                <w:color w:val="000000"/>
                <w:sz w:val="24"/>
              </w:rPr>
              <w:t>OAB/AL 12.016</w:t>
            </w:r>
          </w:p>
        </w:tc>
      </w:tr>
    </w:tbl>
    <w:p w:rsidR="00CC742F" w:rsidRPr="00CC742F" w:rsidRDefault="00CC742F" w:rsidP="00405C2B">
      <w:pPr>
        <w:spacing w:after="0" w:line="360" w:lineRule="auto"/>
        <w:rPr>
          <w:rFonts w:ascii="Cambria" w:hAnsi="Cambria" w:cs="Arial"/>
          <w:b/>
          <w:sz w:val="24"/>
          <w:szCs w:val="24"/>
        </w:rPr>
      </w:pPr>
    </w:p>
    <w:sectPr w:rsidR="00CC742F" w:rsidRPr="00CC742F" w:rsidSect="00D63E80">
      <w:headerReference w:type="default" r:id="rId8"/>
      <w:footerReference w:type="default" r:id="rId9"/>
      <w:pgSz w:w="11906" w:h="16838"/>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FB" w:rsidRDefault="008949FB">
      <w:pPr>
        <w:spacing w:after="0" w:line="240" w:lineRule="auto"/>
      </w:pPr>
      <w:r>
        <w:separator/>
      </w:r>
    </w:p>
  </w:endnote>
  <w:endnote w:type="continuationSeparator" w:id="0">
    <w:p w:rsidR="008949FB" w:rsidRDefault="0089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A0" w:rsidRDefault="00854131">
    <w:pPr>
      <w:pStyle w:val="Rodap"/>
      <w:rPr>
        <w:lang w:eastAsia="pt-BR"/>
      </w:rPr>
    </w:pPr>
    <w:r>
      <w:rPr>
        <w:noProof/>
        <w:lang w:eastAsia="pt-BR"/>
      </w:rPr>
      <w:drawing>
        <wp:anchor distT="0" distB="0" distL="114935" distR="114935" simplePos="0" relativeHeight="251658240" behindDoc="1" locked="0" layoutInCell="1" allowOverlap="1">
          <wp:simplePos x="0" y="0"/>
          <wp:positionH relativeFrom="page">
            <wp:posOffset>31115</wp:posOffset>
          </wp:positionH>
          <wp:positionV relativeFrom="paragraph">
            <wp:posOffset>130810</wp:posOffset>
          </wp:positionV>
          <wp:extent cx="7526020" cy="118872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020" cy="1188720"/>
                  </a:xfrm>
                  <a:prstGeom prst="rect">
                    <a:avLst/>
                  </a:prstGeom>
                  <a:solidFill>
                    <a:srgbClr val="FFFFFF"/>
                  </a:solidFill>
                  <a:ln>
                    <a:noFill/>
                  </a:ln>
                </pic:spPr>
              </pic:pic>
            </a:graphicData>
          </a:graphic>
        </wp:anchor>
      </w:drawing>
    </w:r>
  </w:p>
  <w:p w:rsidR="001362A0" w:rsidRDefault="001362A0">
    <w:pPr>
      <w:pStyle w:val="Rodap"/>
      <w:rPr>
        <w:lang w:eastAsia="pt-BR"/>
      </w:rPr>
    </w:pPr>
  </w:p>
  <w:p w:rsidR="001362A0" w:rsidRDefault="001362A0">
    <w:pPr>
      <w:pStyle w:val="Rodap"/>
      <w:rPr>
        <w:lang w:eastAsia="pt-BR"/>
      </w:rPr>
    </w:pPr>
  </w:p>
  <w:p w:rsidR="001362A0" w:rsidRDefault="001362A0">
    <w:pPr>
      <w:pStyle w:val="Rodap"/>
      <w:rPr>
        <w:lang w:eastAsia="pt-BR"/>
      </w:rPr>
    </w:pPr>
  </w:p>
  <w:p w:rsidR="001362A0" w:rsidRDefault="001362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FB" w:rsidRDefault="008949FB">
      <w:pPr>
        <w:spacing w:after="0" w:line="240" w:lineRule="auto"/>
      </w:pPr>
      <w:r>
        <w:separator/>
      </w:r>
    </w:p>
  </w:footnote>
  <w:footnote w:type="continuationSeparator" w:id="0">
    <w:p w:rsidR="008949FB" w:rsidRDefault="008949FB">
      <w:pPr>
        <w:spacing w:after="0" w:line="240" w:lineRule="auto"/>
      </w:pPr>
      <w:r>
        <w:continuationSeparator/>
      </w:r>
    </w:p>
  </w:footnote>
  <w:footnote w:id="1">
    <w:p w:rsidR="006B0094" w:rsidRPr="00CE56CB" w:rsidRDefault="006B0094" w:rsidP="006B0094">
      <w:pPr>
        <w:jc w:val="both"/>
        <w:rPr>
          <w:rFonts w:asciiTheme="majorHAnsi" w:hAnsiTheme="majorHAnsi" w:cs="Tahoma"/>
          <w:sz w:val="20"/>
          <w:szCs w:val="20"/>
        </w:rPr>
      </w:pPr>
      <w:r w:rsidRPr="00CE56CB">
        <w:rPr>
          <w:rStyle w:val="Refdenotaderodap"/>
          <w:rFonts w:asciiTheme="majorHAnsi" w:hAnsiTheme="majorHAnsi" w:cs="Tahoma"/>
          <w:b/>
          <w:bCs/>
          <w:sz w:val="20"/>
          <w:szCs w:val="20"/>
        </w:rPr>
        <w:footnoteRef/>
      </w:r>
      <w:r w:rsidRPr="00CE56CB">
        <w:rPr>
          <w:rFonts w:asciiTheme="majorHAnsi" w:hAnsiTheme="majorHAnsi" w:cs="Tahoma"/>
          <w:b/>
          <w:bCs/>
          <w:sz w:val="20"/>
          <w:szCs w:val="20"/>
        </w:rPr>
        <w:t xml:space="preserve"> </w:t>
      </w:r>
      <w:r w:rsidRPr="00CE56CB">
        <w:rPr>
          <w:rFonts w:asciiTheme="majorHAnsi" w:hAnsiTheme="majorHAnsi" w:cs="Tahoma"/>
          <w:sz w:val="20"/>
          <w:szCs w:val="20"/>
        </w:rPr>
        <w:t xml:space="preserve">STF – </w:t>
      </w:r>
      <w:proofErr w:type="gramStart"/>
      <w:r w:rsidRPr="00CE56CB">
        <w:rPr>
          <w:rFonts w:asciiTheme="majorHAnsi" w:hAnsiTheme="majorHAnsi" w:cs="Tahoma"/>
          <w:sz w:val="20"/>
          <w:szCs w:val="20"/>
        </w:rPr>
        <w:t>SS:</w:t>
      </w:r>
      <w:proofErr w:type="gramEnd"/>
      <w:r w:rsidRPr="00CE56CB">
        <w:rPr>
          <w:rFonts w:asciiTheme="majorHAnsi" w:hAnsiTheme="majorHAnsi" w:cs="Tahoma"/>
          <w:sz w:val="20"/>
          <w:szCs w:val="20"/>
        </w:rPr>
        <w:t>2875 DF, Relator: Min. Presidente, Data do Julgamento 07/04/2006. DJ 20/04/2006, P, 00004</w:t>
      </w:r>
      <w:r w:rsidRPr="00CE56CB">
        <w:rPr>
          <w:rFonts w:asciiTheme="majorHAnsi" w:hAnsiTheme="majorHAnsi" w:cs="Tahoma"/>
          <w:sz w:val="20"/>
          <w:szCs w:val="20"/>
        </w:rPr>
        <w:tab/>
      </w:r>
    </w:p>
  </w:footnote>
  <w:footnote w:id="2">
    <w:p w:rsidR="006B0094" w:rsidRPr="00CE56CB" w:rsidRDefault="006B0094" w:rsidP="006B0094">
      <w:pPr>
        <w:jc w:val="both"/>
        <w:rPr>
          <w:rFonts w:asciiTheme="majorHAnsi" w:hAnsiTheme="majorHAnsi" w:cs="Tahoma"/>
          <w:color w:val="000000"/>
          <w:sz w:val="20"/>
          <w:szCs w:val="20"/>
        </w:rPr>
      </w:pPr>
      <w:r w:rsidRPr="00CE56CB">
        <w:rPr>
          <w:rStyle w:val="Refdenotaderodap"/>
          <w:rFonts w:asciiTheme="majorHAnsi" w:hAnsiTheme="majorHAnsi" w:cs="Tahoma"/>
          <w:b/>
          <w:bCs/>
          <w:sz w:val="20"/>
          <w:szCs w:val="20"/>
        </w:rPr>
        <w:footnoteRef/>
      </w:r>
      <w:r w:rsidRPr="00CE56CB">
        <w:rPr>
          <w:rFonts w:asciiTheme="majorHAnsi" w:hAnsiTheme="majorHAnsi" w:cs="Tahoma"/>
          <w:sz w:val="20"/>
          <w:szCs w:val="20"/>
        </w:rPr>
        <w:t xml:space="preserve"> </w:t>
      </w:r>
      <w:r w:rsidRPr="00CE56CB">
        <w:rPr>
          <w:rFonts w:asciiTheme="majorHAnsi" w:hAnsiTheme="majorHAnsi" w:cs="Tahoma"/>
          <w:color w:val="000000"/>
          <w:sz w:val="20"/>
          <w:szCs w:val="20"/>
        </w:rPr>
        <w:t>STF – ADI: 3378 DF, Relator Carlos Ayres Britto, Data do Julgamento 09/04/2008. DJ 20/06/2008 P, 00242.</w:t>
      </w:r>
    </w:p>
    <w:p w:rsidR="006B0094" w:rsidRDefault="006B0094" w:rsidP="006B0094">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A0" w:rsidRDefault="00854131">
    <w:pPr>
      <w:pStyle w:val="Cabealho"/>
      <w:rPr>
        <w:lang w:eastAsia="pt-BR"/>
      </w:rPr>
    </w:pPr>
    <w:r>
      <w:rPr>
        <w:noProof/>
        <w:lang w:eastAsia="pt-BR"/>
      </w:rPr>
      <w:drawing>
        <wp:anchor distT="0" distB="0" distL="114935" distR="114935" simplePos="0" relativeHeight="251657216" behindDoc="0" locked="0" layoutInCell="1" allowOverlap="1">
          <wp:simplePos x="0" y="0"/>
          <wp:positionH relativeFrom="margin">
            <wp:posOffset>1614170</wp:posOffset>
          </wp:positionH>
          <wp:positionV relativeFrom="paragraph">
            <wp:posOffset>-311150</wp:posOffset>
          </wp:positionV>
          <wp:extent cx="2162810" cy="829945"/>
          <wp:effectExtent l="0" t="0" r="889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829945"/>
                  </a:xfrm>
                  <a:prstGeom prst="rect">
                    <a:avLst/>
                  </a:prstGeom>
                  <a:solidFill>
                    <a:srgbClr val="FFFFFF">
                      <a:alpha val="0"/>
                    </a:srgbClr>
                  </a:solidFill>
                  <a:ln>
                    <a:noFill/>
                  </a:ln>
                </pic:spPr>
              </pic:pic>
            </a:graphicData>
          </a:graphic>
        </wp:anchor>
      </w:drawing>
    </w:r>
  </w:p>
  <w:p w:rsidR="001362A0" w:rsidRDefault="001362A0">
    <w:pPr>
      <w:pStyle w:val="Cabealho"/>
    </w:pPr>
  </w:p>
  <w:p w:rsidR="001362A0" w:rsidRDefault="001362A0">
    <w:pPr>
      <w:pStyle w:val="Cabealho"/>
    </w:pPr>
  </w:p>
  <w:p w:rsidR="001362A0" w:rsidRDefault="001362A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BE"/>
    <w:rsid w:val="000109F2"/>
    <w:rsid w:val="00031A69"/>
    <w:rsid w:val="00052CB2"/>
    <w:rsid w:val="00076191"/>
    <w:rsid w:val="00081D03"/>
    <w:rsid w:val="00082A59"/>
    <w:rsid w:val="00084DD0"/>
    <w:rsid w:val="000D405F"/>
    <w:rsid w:val="000E06D3"/>
    <w:rsid w:val="00120236"/>
    <w:rsid w:val="001362A0"/>
    <w:rsid w:val="001C79CF"/>
    <w:rsid w:val="001E4942"/>
    <w:rsid w:val="001F74BD"/>
    <w:rsid w:val="00273D37"/>
    <w:rsid w:val="00295E5F"/>
    <w:rsid w:val="002A2CA5"/>
    <w:rsid w:val="002A71A4"/>
    <w:rsid w:val="002B6987"/>
    <w:rsid w:val="002C3FEA"/>
    <w:rsid w:val="002D2E4A"/>
    <w:rsid w:val="002D355D"/>
    <w:rsid w:val="002E06D5"/>
    <w:rsid w:val="002F06B1"/>
    <w:rsid w:val="00314630"/>
    <w:rsid w:val="0038506F"/>
    <w:rsid w:val="0039731C"/>
    <w:rsid w:val="003B3D57"/>
    <w:rsid w:val="003B61A8"/>
    <w:rsid w:val="003E2F9C"/>
    <w:rsid w:val="003F0A54"/>
    <w:rsid w:val="00405C2B"/>
    <w:rsid w:val="00455702"/>
    <w:rsid w:val="004669EF"/>
    <w:rsid w:val="0048158C"/>
    <w:rsid w:val="00494021"/>
    <w:rsid w:val="004A18BF"/>
    <w:rsid w:val="004B37E2"/>
    <w:rsid w:val="004D2915"/>
    <w:rsid w:val="004E3B38"/>
    <w:rsid w:val="00505365"/>
    <w:rsid w:val="00542CF7"/>
    <w:rsid w:val="00546DA0"/>
    <w:rsid w:val="00577595"/>
    <w:rsid w:val="0059101D"/>
    <w:rsid w:val="0059260B"/>
    <w:rsid w:val="005B04B3"/>
    <w:rsid w:val="00615258"/>
    <w:rsid w:val="00635950"/>
    <w:rsid w:val="00645BF3"/>
    <w:rsid w:val="00647309"/>
    <w:rsid w:val="00647E6D"/>
    <w:rsid w:val="0066490B"/>
    <w:rsid w:val="0067320B"/>
    <w:rsid w:val="00684A4A"/>
    <w:rsid w:val="00696EBF"/>
    <w:rsid w:val="006A28AB"/>
    <w:rsid w:val="006B0094"/>
    <w:rsid w:val="006C198F"/>
    <w:rsid w:val="006D6BB3"/>
    <w:rsid w:val="0070275E"/>
    <w:rsid w:val="00705AE9"/>
    <w:rsid w:val="00723A79"/>
    <w:rsid w:val="00740B56"/>
    <w:rsid w:val="007733D0"/>
    <w:rsid w:val="00792488"/>
    <w:rsid w:val="00797FA0"/>
    <w:rsid w:val="007E2AD4"/>
    <w:rsid w:val="007E2F3C"/>
    <w:rsid w:val="007F2510"/>
    <w:rsid w:val="008210F6"/>
    <w:rsid w:val="008311BE"/>
    <w:rsid w:val="00854131"/>
    <w:rsid w:val="008731B8"/>
    <w:rsid w:val="0087617F"/>
    <w:rsid w:val="008949FB"/>
    <w:rsid w:val="008B643D"/>
    <w:rsid w:val="009031ED"/>
    <w:rsid w:val="0092139B"/>
    <w:rsid w:val="00922258"/>
    <w:rsid w:val="0094084F"/>
    <w:rsid w:val="00945902"/>
    <w:rsid w:val="00962E08"/>
    <w:rsid w:val="009E5006"/>
    <w:rsid w:val="00A055A6"/>
    <w:rsid w:val="00A07896"/>
    <w:rsid w:val="00A130E9"/>
    <w:rsid w:val="00A17D2F"/>
    <w:rsid w:val="00A20D24"/>
    <w:rsid w:val="00A77AA2"/>
    <w:rsid w:val="00A847D1"/>
    <w:rsid w:val="00AC6878"/>
    <w:rsid w:val="00AD2EC5"/>
    <w:rsid w:val="00AE0C7E"/>
    <w:rsid w:val="00AE0E14"/>
    <w:rsid w:val="00B268A3"/>
    <w:rsid w:val="00B626F0"/>
    <w:rsid w:val="00B6383C"/>
    <w:rsid w:val="00B75ED9"/>
    <w:rsid w:val="00BB07AC"/>
    <w:rsid w:val="00BC389B"/>
    <w:rsid w:val="00BC40EB"/>
    <w:rsid w:val="00BE4260"/>
    <w:rsid w:val="00C22FBC"/>
    <w:rsid w:val="00C23194"/>
    <w:rsid w:val="00C61C5B"/>
    <w:rsid w:val="00C807A1"/>
    <w:rsid w:val="00C834BB"/>
    <w:rsid w:val="00C96BA7"/>
    <w:rsid w:val="00CC742F"/>
    <w:rsid w:val="00CD46F8"/>
    <w:rsid w:val="00CE56CB"/>
    <w:rsid w:val="00CF44A3"/>
    <w:rsid w:val="00D22041"/>
    <w:rsid w:val="00D24018"/>
    <w:rsid w:val="00D53D38"/>
    <w:rsid w:val="00D63E80"/>
    <w:rsid w:val="00D75DCC"/>
    <w:rsid w:val="00DB1BBF"/>
    <w:rsid w:val="00DC68A6"/>
    <w:rsid w:val="00DD51F3"/>
    <w:rsid w:val="00DD674C"/>
    <w:rsid w:val="00DE34B4"/>
    <w:rsid w:val="00DE3935"/>
    <w:rsid w:val="00E21F89"/>
    <w:rsid w:val="00E255F6"/>
    <w:rsid w:val="00E53DCA"/>
    <w:rsid w:val="00F42436"/>
    <w:rsid w:val="00F453F9"/>
    <w:rsid w:val="00F66389"/>
    <w:rsid w:val="00FA6BF7"/>
    <w:rsid w:val="00FB013E"/>
    <w:rsid w:val="00FF15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BE"/>
    <w:pPr>
      <w:suppressAutoHyphens/>
      <w:spacing w:after="160" w:line="256" w:lineRule="auto"/>
    </w:pPr>
    <w:rPr>
      <w:sz w:val="22"/>
      <w:szCs w:val="22"/>
      <w:lang w:eastAsia="zh-CN"/>
    </w:rPr>
  </w:style>
  <w:style w:type="paragraph" w:styleId="Ttulo3">
    <w:name w:val="heading 3"/>
    <w:basedOn w:val="Normal"/>
    <w:link w:val="Ttulo3Char"/>
    <w:uiPriority w:val="9"/>
    <w:qFormat/>
    <w:rsid w:val="00C23194"/>
    <w:pPr>
      <w:suppressAutoHyphens w:val="0"/>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311BE"/>
    <w:pPr>
      <w:spacing w:after="0" w:line="240" w:lineRule="auto"/>
    </w:pPr>
  </w:style>
  <w:style w:type="character" w:customStyle="1" w:styleId="CabealhoChar">
    <w:name w:val="Cabeçalho Char"/>
    <w:link w:val="Cabealho"/>
    <w:rsid w:val="008311BE"/>
    <w:rPr>
      <w:rFonts w:ascii="Calibri" w:eastAsia="Calibri" w:hAnsi="Calibri" w:cs="Times New Roman"/>
      <w:lang w:eastAsia="zh-CN"/>
    </w:rPr>
  </w:style>
  <w:style w:type="paragraph" w:styleId="Rodap">
    <w:name w:val="footer"/>
    <w:basedOn w:val="Normal"/>
    <w:link w:val="RodapChar"/>
    <w:rsid w:val="008311BE"/>
    <w:pPr>
      <w:spacing w:after="0" w:line="240" w:lineRule="auto"/>
    </w:pPr>
  </w:style>
  <w:style w:type="character" w:customStyle="1" w:styleId="RodapChar">
    <w:name w:val="Rodapé Char"/>
    <w:link w:val="Rodap"/>
    <w:rsid w:val="008311BE"/>
    <w:rPr>
      <w:rFonts w:ascii="Calibri" w:eastAsia="Calibri" w:hAnsi="Calibri" w:cs="Times New Roman"/>
      <w:lang w:eastAsia="zh-CN"/>
    </w:rPr>
  </w:style>
  <w:style w:type="character" w:customStyle="1" w:styleId="Ttulo3Char">
    <w:name w:val="Título 3 Char"/>
    <w:link w:val="Ttulo3"/>
    <w:uiPriority w:val="9"/>
    <w:rsid w:val="00C23194"/>
    <w:rPr>
      <w:rFonts w:ascii="Times New Roman" w:eastAsia="Times New Roman" w:hAnsi="Times New Roman"/>
      <w:b/>
      <w:bCs/>
      <w:sz w:val="27"/>
      <w:szCs w:val="27"/>
    </w:rPr>
  </w:style>
  <w:style w:type="paragraph" w:styleId="SemEspaamento">
    <w:name w:val="No Spacing"/>
    <w:uiPriority w:val="1"/>
    <w:qFormat/>
    <w:rsid w:val="00C23194"/>
    <w:rPr>
      <w:rFonts w:ascii="Times New Roman" w:eastAsia="Times New Roman" w:hAnsi="Times New Roman"/>
    </w:rPr>
  </w:style>
  <w:style w:type="character" w:styleId="nfase">
    <w:name w:val="Emphasis"/>
    <w:uiPriority w:val="20"/>
    <w:qFormat/>
    <w:rsid w:val="00BC40EB"/>
    <w:rPr>
      <w:i/>
      <w:iCs/>
    </w:rPr>
  </w:style>
  <w:style w:type="character" w:styleId="Forte">
    <w:name w:val="Strong"/>
    <w:uiPriority w:val="22"/>
    <w:qFormat/>
    <w:rsid w:val="00BC40EB"/>
    <w:rPr>
      <w:b/>
      <w:bCs/>
    </w:rPr>
  </w:style>
  <w:style w:type="character" w:customStyle="1" w:styleId="apple-converted-space">
    <w:name w:val="apple-converted-space"/>
    <w:rsid w:val="001E4942"/>
  </w:style>
  <w:style w:type="paragraph" w:styleId="NormalWeb">
    <w:name w:val="Normal (Web)"/>
    <w:basedOn w:val="Normal"/>
    <w:uiPriority w:val="99"/>
    <w:semiHidden/>
    <w:unhideWhenUsed/>
    <w:rsid w:val="0038506F"/>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semiHidden/>
    <w:unhideWhenUsed/>
    <w:rsid w:val="00D24018"/>
    <w:rPr>
      <w:sz w:val="20"/>
      <w:szCs w:val="20"/>
    </w:rPr>
  </w:style>
  <w:style w:type="character" w:customStyle="1" w:styleId="TextodenotaderodapChar">
    <w:name w:val="Texto de nota de rodapé Char"/>
    <w:link w:val="Textodenotaderodap"/>
    <w:uiPriority w:val="99"/>
    <w:semiHidden/>
    <w:rsid w:val="00D24018"/>
    <w:rPr>
      <w:lang w:eastAsia="zh-CN"/>
    </w:rPr>
  </w:style>
  <w:style w:type="character" w:styleId="Refdenotaderodap">
    <w:name w:val="footnote reference"/>
    <w:semiHidden/>
    <w:unhideWhenUsed/>
    <w:rsid w:val="00D24018"/>
    <w:rPr>
      <w:vertAlign w:val="superscript"/>
    </w:rPr>
  </w:style>
  <w:style w:type="character" w:styleId="Hyperlink">
    <w:name w:val="Hyperlink"/>
    <w:basedOn w:val="Fontepargpadro"/>
    <w:uiPriority w:val="99"/>
    <w:semiHidden/>
    <w:unhideWhenUsed/>
    <w:rsid w:val="00CC742F"/>
    <w:rPr>
      <w:color w:val="0000FF"/>
      <w:u w:val="single"/>
    </w:rPr>
  </w:style>
  <w:style w:type="character" w:customStyle="1" w:styleId="Fontepargpadro1">
    <w:name w:val="Fonte parág. padrão1"/>
    <w:rsid w:val="00CC742F"/>
  </w:style>
  <w:style w:type="paragraph" w:customStyle="1" w:styleId="TCU-RelVoto-1">
    <w:name w:val="TCU - Rel/Voto - 1º §"/>
    <w:basedOn w:val="Normal"/>
    <w:rsid w:val="006B0094"/>
    <w:pPr>
      <w:suppressAutoHyphens w:val="0"/>
      <w:spacing w:line="240" w:lineRule="auto"/>
      <w:ind w:firstLine="1134"/>
      <w:jc w:val="both"/>
    </w:pPr>
    <w:rPr>
      <w:rFonts w:ascii="Times New Roman" w:eastAsia="Times New Roman" w:hAnsi="Times New Roman"/>
      <w:sz w:val="24"/>
      <w:lang w:eastAsia="en-US"/>
    </w:rPr>
  </w:style>
  <w:style w:type="paragraph" w:customStyle="1" w:styleId="TCU-Epgrafe">
    <w:name w:val="TCU - Epígrafe"/>
    <w:basedOn w:val="Normal"/>
    <w:rsid w:val="006B0094"/>
    <w:pPr>
      <w:suppressAutoHyphens w:val="0"/>
      <w:spacing w:after="0" w:line="240" w:lineRule="auto"/>
      <w:ind w:left="2835"/>
      <w:jc w:val="both"/>
    </w:pPr>
    <w:rPr>
      <w:rFonts w:ascii="Times New Roman" w:eastAsia="Times New Roman" w:hAnsi="Times New Roman"/>
      <w:sz w:val="24"/>
      <w:szCs w:val="20"/>
      <w:lang w:eastAsia="pt-BR"/>
    </w:rPr>
  </w:style>
  <w:style w:type="paragraph" w:styleId="Textodebalo">
    <w:name w:val="Balloon Text"/>
    <w:basedOn w:val="Normal"/>
    <w:link w:val="TextodebaloChar"/>
    <w:uiPriority w:val="99"/>
    <w:semiHidden/>
    <w:unhideWhenUsed/>
    <w:rsid w:val="00405C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5C2B"/>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BE"/>
    <w:pPr>
      <w:suppressAutoHyphens/>
      <w:spacing w:after="160" w:line="256" w:lineRule="auto"/>
    </w:pPr>
    <w:rPr>
      <w:sz w:val="22"/>
      <w:szCs w:val="22"/>
      <w:lang w:eastAsia="zh-CN"/>
    </w:rPr>
  </w:style>
  <w:style w:type="paragraph" w:styleId="Ttulo3">
    <w:name w:val="heading 3"/>
    <w:basedOn w:val="Normal"/>
    <w:link w:val="Ttulo3Char"/>
    <w:uiPriority w:val="9"/>
    <w:qFormat/>
    <w:rsid w:val="00C23194"/>
    <w:pPr>
      <w:suppressAutoHyphens w:val="0"/>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311BE"/>
    <w:pPr>
      <w:spacing w:after="0" w:line="240" w:lineRule="auto"/>
    </w:pPr>
  </w:style>
  <w:style w:type="character" w:customStyle="1" w:styleId="CabealhoChar">
    <w:name w:val="Cabeçalho Char"/>
    <w:link w:val="Cabealho"/>
    <w:rsid w:val="008311BE"/>
    <w:rPr>
      <w:rFonts w:ascii="Calibri" w:eastAsia="Calibri" w:hAnsi="Calibri" w:cs="Times New Roman"/>
      <w:lang w:eastAsia="zh-CN"/>
    </w:rPr>
  </w:style>
  <w:style w:type="paragraph" w:styleId="Rodap">
    <w:name w:val="footer"/>
    <w:basedOn w:val="Normal"/>
    <w:link w:val="RodapChar"/>
    <w:rsid w:val="008311BE"/>
    <w:pPr>
      <w:spacing w:after="0" w:line="240" w:lineRule="auto"/>
    </w:pPr>
  </w:style>
  <w:style w:type="character" w:customStyle="1" w:styleId="RodapChar">
    <w:name w:val="Rodapé Char"/>
    <w:link w:val="Rodap"/>
    <w:rsid w:val="008311BE"/>
    <w:rPr>
      <w:rFonts w:ascii="Calibri" w:eastAsia="Calibri" w:hAnsi="Calibri" w:cs="Times New Roman"/>
      <w:lang w:eastAsia="zh-CN"/>
    </w:rPr>
  </w:style>
  <w:style w:type="character" w:customStyle="1" w:styleId="Ttulo3Char">
    <w:name w:val="Título 3 Char"/>
    <w:link w:val="Ttulo3"/>
    <w:uiPriority w:val="9"/>
    <w:rsid w:val="00C23194"/>
    <w:rPr>
      <w:rFonts w:ascii="Times New Roman" w:eastAsia="Times New Roman" w:hAnsi="Times New Roman"/>
      <w:b/>
      <w:bCs/>
      <w:sz w:val="27"/>
      <w:szCs w:val="27"/>
    </w:rPr>
  </w:style>
  <w:style w:type="paragraph" w:styleId="SemEspaamento">
    <w:name w:val="No Spacing"/>
    <w:uiPriority w:val="1"/>
    <w:qFormat/>
    <w:rsid w:val="00C23194"/>
    <w:rPr>
      <w:rFonts w:ascii="Times New Roman" w:eastAsia="Times New Roman" w:hAnsi="Times New Roman"/>
    </w:rPr>
  </w:style>
  <w:style w:type="character" w:styleId="nfase">
    <w:name w:val="Emphasis"/>
    <w:uiPriority w:val="20"/>
    <w:qFormat/>
    <w:rsid w:val="00BC40EB"/>
    <w:rPr>
      <w:i/>
      <w:iCs/>
    </w:rPr>
  </w:style>
  <w:style w:type="character" w:styleId="Forte">
    <w:name w:val="Strong"/>
    <w:uiPriority w:val="22"/>
    <w:qFormat/>
    <w:rsid w:val="00BC40EB"/>
    <w:rPr>
      <w:b/>
      <w:bCs/>
    </w:rPr>
  </w:style>
  <w:style w:type="character" w:customStyle="1" w:styleId="apple-converted-space">
    <w:name w:val="apple-converted-space"/>
    <w:rsid w:val="001E4942"/>
  </w:style>
  <w:style w:type="paragraph" w:styleId="NormalWeb">
    <w:name w:val="Normal (Web)"/>
    <w:basedOn w:val="Normal"/>
    <w:uiPriority w:val="99"/>
    <w:semiHidden/>
    <w:unhideWhenUsed/>
    <w:rsid w:val="0038506F"/>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semiHidden/>
    <w:unhideWhenUsed/>
    <w:rsid w:val="00D24018"/>
    <w:rPr>
      <w:sz w:val="20"/>
      <w:szCs w:val="20"/>
    </w:rPr>
  </w:style>
  <w:style w:type="character" w:customStyle="1" w:styleId="TextodenotaderodapChar">
    <w:name w:val="Texto de nota de rodapé Char"/>
    <w:link w:val="Textodenotaderodap"/>
    <w:uiPriority w:val="99"/>
    <w:semiHidden/>
    <w:rsid w:val="00D24018"/>
    <w:rPr>
      <w:lang w:eastAsia="zh-CN"/>
    </w:rPr>
  </w:style>
  <w:style w:type="character" w:styleId="Refdenotaderodap">
    <w:name w:val="footnote reference"/>
    <w:semiHidden/>
    <w:unhideWhenUsed/>
    <w:rsid w:val="00D24018"/>
    <w:rPr>
      <w:vertAlign w:val="superscript"/>
    </w:rPr>
  </w:style>
  <w:style w:type="character" w:styleId="Hyperlink">
    <w:name w:val="Hyperlink"/>
    <w:basedOn w:val="Fontepargpadro"/>
    <w:uiPriority w:val="99"/>
    <w:semiHidden/>
    <w:unhideWhenUsed/>
    <w:rsid w:val="00CC742F"/>
    <w:rPr>
      <w:color w:val="0000FF"/>
      <w:u w:val="single"/>
    </w:rPr>
  </w:style>
  <w:style w:type="character" w:customStyle="1" w:styleId="Fontepargpadro1">
    <w:name w:val="Fonte parág. padrão1"/>
    <w:rsid w:val="00CC742F"/>
  </w:style>
  <w:style w:type="paragraph" w:customStyle="1" w:styleId="TCU-RelVoto-1">
    <w:name w:val="TCU - Rel/Voto - 1º §"/>
    <w:basedOn w:val="Normal"/>
    <w:rsid w:val="006B0094"/>
    <w:pPr>
      <w:suppressAutoHyphens w:val="0"/>
      <w:spacing w:line="240" w:lineRule="auto"/>
      <w:ind w:firstLine="1134"/>
      <w:jc w:val="both"/>
    </w:pPr>
    <w:rPr>
      <w:rFonts w:ascii="Times New Roman" w:eastAsia="Times New Roman" w:hAnsi="Times New Roman"/>
      <w:sz w:val="24"/>
      <w:lang w:eastAsia="en-US"/>
    </w:rPr>
  </w:style>
  <w:style w:type="paragraph" w:customStyle="1" w:styleId="TCU-Epgrafe">
    <w:name w:val="TCU - Epígrafe"/>
    <w:basedOn w:val="Normal"/>
    <w:rsid w:val="006B0094"/>
    <w:pPr>
      <w:suppressAutoHyphens w:val="0"/>
      <w:spacing w:after="0" w:line="240" w:lineRule="auto"/>
      <w:ind w:left="2835"/>
      <w:jc w:val="both"/>
    </w:pPr>
    <w:rPr>
      <w:rFonts w:ascii="Times New Roman" w:eastAsia="Times New Roman" w:hAnsi="Times New Roman"/>
      <w:sz w:val="24"/>
      <w:szCs w:val="20"/>
      <w:lang w:eastAsia="pt-BR"/>
    </w:rPr>
  </w:style>
  <w:style w:type="paragraph" w:styleId="Textodebalo">
    <w:name w:val="Balloon Text"/>
    <w:basedOn w:val="Normal"/>
    <w:link w:val="TextodebaloChar"/>
    <w:uiPriority w:val="99"/>
    <w:semiHidden/>
    <w:unhideWhenUsed/>
    <w:rsid w:val="00405C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5C2B"/>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152656">
      <w:bodyDiv w:val="1"/>
      <w:marLeft w:val="0"/>
      <w:marRight w:val="0"/>
      <w:marTop w:val="0"/>
      <w:marBottom w:val="0"/>
      <w:divBdr>
        <w:top w:val="none" w:sz="0" w:space="0" w:color="auto"/>
        <w:left w:val="none" w:sz="0" w:space="0" w:color="auto"/>
        <w:bottom w:val="none" w:sz="0" w:space="0" w:color="auto"/>
        <w:right w:val="none" w:sz="0" w:space="0" w:color="auto"/>
      </w:divBdr>
      <w:divsChild>
        <w:div w:id="37776793">
          <w:marLeft w:val="2880"/>
          <w:marRight w:val="0"/>
          <w:marTop w:val="120"/>
          <w:marBottom w:val="120"/>
          <w:divBdr>
            <w:top w:val="none" w:sz="0" w:space="0" w:color="auto"/>
            <w:left w:val="none" w:sz="0" w:space="0" w:color="auto"/>
            <w:bottom w:val="none" w:sz="0" w:space="0" w:color="auto"/>
            <w:right w:val="none" w:sz="0" w:space="0" w:color="auto"/>
          </w:divBdr>
        </w:div>
        <w:div w:id="757292859">
          <w:marLeft w:val="0"/>
          <w:marRight w:val="0"/>
          <w:marTop w:val="120"/>
          <w:marBottom w:val="120"/>
          <w:divBdr>
            <w:top w:val="none" w:sz="0" w:space="0" w:color="auto"/>
            <w:left w:val="none" w:sz="0" w:space="0" w:color="auto"/>
            <w:bottom w:val="none" w:sz="0" w:space="0" w:color="auto"/>
            <w:right w:val="none" w:sz="0" w:space="0" w:color="auto"/>
          </w:divBdr>
        </w:div>
        <w:div w:id="967591556">
          <w:marLeft w:val="0"/>
          <w:marRight w:val="0"/>
          <w:marTop w:val="120"/>
          <w:marBottom w:val="120"/>
          <w:divBdr>
            <w:top w:val="none" w:sz="0" w:space="0" w:color="auto"/>
            <w:left w:val="none" w:sz="0" w:space="0" w:color="auto"/>
            <w:bottom w:val="none" w:sz="0" w:space="0" w:color="auto"/>
            <w:right w:val="none" w:sz="0" w:space="0" w:color="auto"/>
          </w:divBdr>
        </w:div>
        <w:div w:id="1451777900">
          <w:marLeft w:val="2880"/>
          <w:marRight w:val="0"/>
          <w:marTop w:val="120"/>
          <w:marBottom w:val="120"/>
          <w:divBdr>
            <w:top w:val="none" w:sz="0" w:space="0" w:color="auto"/>
            <w:left w:val="none" w:sz="0" w:space="0" w:color="auto"/>
            <w:bottom w:val="none" w:sz="0" w:space="0" w:color="auto"/>
            <w:right w:val="none" w:sz="0" w:space="0" w:color="auto"/>
          </w:divBdr>
        </w:div>
      </w:divsChild>
    </w:div>
    <w:div w:id="1873229511">
      <w:bodyDiv w:val="1"/>
      <w:marLeft w:val="0"/>
      <w:marRight w:val="0"/>
      <w:marTop w:val="0"/>
      <w:marBottom w:val="0"/>
      <w:divBdr>
        <w:top w:val="none" w:sz="0" w:space="0" w:color="auto"/>
        <w:left w:val="none" w:sz="0" w:space="0" w:color="auto"/>
        <w:bottom w:val="none" w:sz="0" w:space="0" w:color="auto"/>
        <w:right w:val="none" w:sz="0" w:space="0" w:color="auto"/>
      </w:divBdr>
      <w:divsChild>
        <w:div w:id="1461412780">
          <w:marLeft w:val="0"/>
          <w:marRight w:val="0"/>
          <w:marTop w:val="120"/>
          <w:marBottom w:val="120"/>
          <w:divBdr>
            <w:top w:val="none" w:sz="0" w:space="0" w:color="auto"/>
            <w:left w:val="none" w:sz="0" w:space="0" w:color="auto"/>
            <w:bottom w:val="none" w:sz="0" w:space="0" w:color="auto"/>
            <w:right w:val="none" w:sz="0" w:space="0" w:color="auto"/>
          </w:divBdr>
        </w:div>
        <w:div w:id="1682195944">
          <w:marLeft w:val="0"/>
          <w:marRight w:val="0"/>
          <w:marTop w:val="120"/>
          <w:marBottom w:val="120"/>
          <w:divBdr>
            <w:top w:val="none" w:sz="0" w:space="0" w:color="auto"/>
            <w:left w:val="none" w:sz="0" w:space="0" w:color="auto"/>
            <w:bottom w:val="none" w:sz="0" w:space="0" w:color="auto"/>
            <w:right w:val="none" w:sz="0" w:space="0" w:color="auto"/>
          </w:divBdr>
        </w:div>
      </w:divsChild>
    </w:div>
    <w:div w:id="20613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06E8-92AD-4FB2-B6D2-F9EB5D7A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1736</Words>
  <Characters>9380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clarice.maia</dc:creator>
  <cp:lastModifiedBy>Luiza Maya</cp:lastModifiedBy>
  <cp:revision>3</cp:revision>
  <cp:lastPrinted>2017-11-10T15:47:00Z</cp:lastPrinted>
  <dcterms:created xsi:type="dcterms:W3CDTF">2017-11-10T16:05:00Z</dcterms:created>
  <dcterms:modified xsi:type="dcterms:W3CDTF">2017-11-10T16:17:00Z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-1404313303</vt:i4>
  </property>
</Properties>
</file>