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8" w:rsidRDefault="00581198" w:rsidP="0058119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INSTITUTO DO MEIO AMBIENTE DE ALAGOAS</w:t>
      </w:r>
    </w:p>
    <w:p w:rsidR="00C71A87" w:rsidRDefault="00C71A87" w:rsidP="0058119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Coordenadoria Jurídica</w:t>
      </w:r>
    </w:p>
    <w:p w:rsidR="00581198" w:rsidRDefault="00581198" w:rsidP="005811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20D48" w:rsidRDefault="00B20D48" w:rsidP="005811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20D48" w:rsidRDefault="00B20D48" w:rsidP="005811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61841" w:rsidRDefault="00A61841" w:rsidP="005811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81198" w:rsidRDefault="00A61841" w:rsidP="0058119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 JURÍDICA NORMATIVA</w:t>
      </w:r>
      <w:r w:rsidR="00581198">
        <w:rPr>
          <w:rFonts w:ascii="Arial" w:hAnsi="Arial" w:cs="Arial"/>
          <w:b/>
          <w:bCs/>
          <w:sz w:val="20"/>
          <w:szCs w:val="20"/>
        </w:rPr>
        <w:t xml:space="preserve"> N</w:t>
      </w:r>
      <w:r w:rsidR="00581198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O</w:t>
      </w:r>
      <w:r w:rsidR="00581198">
        <w:rPr>
          <w:rFonts w:ascii="Arial" w:hAnsi="Arial" w:cs="Arial"/>
          <w:b/>
          <w:bCs/>
          <w:sz w:val="20"/>
          <w:szCs w:val="20"/>
        </w:rPr>
        <w:t xml:space="preserve"> ______/2019, DE ___/___________/_____.</w:t>
      </w:r>
    </w:p>
    <w:p w:rsidR="00581198" w:rsidRDefault="00581198" w:rsidP="005811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20D48" w:rsidRDefault="00B20D48" w:rsidP="00B20D48">
      <w:pPr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:rsidR="00F372BA" w:rsidRDefault="00F372BA" w:rsidP="00B20D48">
      <w:pPr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:rsidR="00C71A87" w:rsidRDefault="00C71A87" w:rsidP="00B20D48">
      <w:pPr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:rsidR="00581198" w:rsidRPr="00581198" w:rsidRDefault="00581198" w:rsidP="00B20D48">
      <w:pPr>
        <w:ind w:left="396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Estabelece critérios para a suspensão ou cancelamento de licenças ambientais expedidas pelo Instituto do Meio Ambiente de Alagoas – IMA/AL</w:t>
      </w:r>
    </w:p>
    <w:p w:rsidR="00581198" w:rsidRDefault="00581198" w:rsidP="00B20D48">
      <w:pPr>
        <w:ind w:left="3969"/>
        <w:rPr>
          <w:rFonts w:ascii="Arial" w:hAnsi="Arial" w:cs="Arial"/>
          <w:b/>
          <w:bCs/>
          <w:sz w:val="20"/>
          <w:szCs w:val="20"/>
        </w:rPr>
      </w:pPr>
    </w:p>
    <w:p w:rsidR="00581198" w:rsidRDefault="00581198">
      <w:pPr>
        <w:rPr>
          <w:rFonts w:ascii="Arial" w:hAnsi="Arial" w:cs="Arial"/>
          <w:b/>
          <w:bCs/>
          <w:sz w:val="20"/>
          <w:szCs w:val="20"/>
        </w:rPr>
      </w:pPr>
    </w:p>
    <w:p w:rsidR="00A61841" w:rsidRDefault="00A61841" w:rsidP="00315DA0">
      <w:pPr>
        <w:spacing w:line="360" w:lineRule="auto"/>
        <w:ind w:firstLine="902"/>
        <w:jc w:val="both"/>
        <w:rPr>
          <w:rFonts w:ascii="Arial" w:hAnsi="Arial" w:cs="Arial"/>
        </w:rPr>
      </w:pPr>
    </w:p>
    <w:p w:rsidR="007F1889" w:rsidRDefault="007F1889" w:rsidP="00A61841">
      <w:pPr>
        <w:spacing w:line="360" w:lineRule="auto"/>
        <w:ind w:firstLine="902"/>
        <w:jc w:val="both"/>
        <w:rPr>
          <w:rFonts w:ascii="Arial" w:hAnsi="Arial" w:cs="Arial"/>
        </w:rPr>
      </w:pPr>
    </w:p>
    <w:p w:rsidR="00A61841" w:rsidRPr="001D4FAA" w:rsidRDefault="007F1889" w:rsidP="00A61841">
      <w:pPr>
        <w:spacing w:line="360" w:lineRule="auto"/>
        <w:ind w:firstLine="902"/>
        <w:jc w:val="both"/>
        <w:rPr>
          <w:rFonts w:ascii="Arial" w:hAnsi="Arial" w:cs="Arial"/>
        </w:rPr>
      </w:pPr>
      <w:r>
        <w:rPr>
          <w:rFonts w:ascii="Arial" w:hAnsi="Arial" w:cs="Arial"/>
        </w:rPr>
        <w:t>Esta Coordenadoria Jurídica submete ao S</w:t>
      </w:r>
      <w:r w:rsidR="00A61841">
        <w:rPr>
          <w:rFonts w:ascii="Arial" w:hAnsi="Arial" w:cs="Arial"/>
        </w:rPr>
        <w:t xml:space="preserve">enhor </w:t>
      </w:r>
      <w:r w:rsidR="00B20D48">
        <w:rPr>
          <w:rFonts w:ascii="Arial" w:hAnsi="Arial" w:cs="Arial"/>
        </w:rPr>
        <w:t>Diretor Presidente do Instituto do Meio Ambiente de Alagoas – IMA</w:t>
      </w:r>
      <w:r>
        <w:rPr>
          <w:rFonts w:ascii="Arial" w:hAnsi="Arial" w:cs="Arial"/>
        </w:rPr>
        <w:t>/AL a interpretação jurídica abaixo para</w:t>
      </w:r>
      <w:r w:rsidR="00C71A87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merecendo sua aprovação, </w:t>
      </w:r>
      <w:r w:rsidR="00C71A87">
        <w:rPr>
          <w:rFonts w:ascii="Arial" w:hAnsi="Arial" w:cs="Arial"/>
        </w:rPr>
        <w:t>seja transformada</w:t>
      </w:r>
      <w:r w:rsidR="00E21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orientação normativa</w:t>
      </w:r>
      <w:r w:rsidR="008C2DA2">
        <w:rPr>
          <w:rFonts w:ascii="Arial" w:hAnsi="Arial" w:cs="Arial"/>
        </w:rPr>
        <w:t xml:space="preserve"> para uniformizar os critérios e procedimentos </w:t>
      </w:r>
      <w:r w:rsidR="00E21C78">
        <w:rPr>
          <w:rFonts w:ascii="Arial" w:hAnsi="Arial" w:cs="Arial"/>
        </w:rPr>
        <w:t>que tratam d</w:t>
      </w:r>
      <w:r w:rsidR="008C2DA2">
        <w:rPr>
          <w:rFonts w:ascii="Arial" w:hAnsi="Arial" w:cs="Arial"/>
        </w:rPr>
        <w:t xml:space="preserve">a suspensão de licenças </w:t>
      </w:r>
      <w:r w:rsidR="00E21C78">
        <w:rPr>
          <w:rFonts w:ascii="Arial" w:hAnsi="Arial" w:cs="Arial"/>
        </w:rPr>
        <w:t xml:space="preserve">ambientais </w:t>
      </w:r>
      <w:r w:rsidR="008C2DA2">
        <w:rPr>
          <w:rFonts w:ascii="Arial" w:hAnsi="Arial" w:cs="Arial"/>
        </w:rPr>
        <w:t>emitidas pelo órgão</w:t>
      </w:r>
      <w:r w:rsidR="00A61841">
        <w:rPr>
          <w:rFonts w:ascii="Arial" w:hAnsi="Arial" w:cs="Arial"/>
        </w:rPr>
        <w:t>.</w:t>
      </w:r>
    </w:p>
    <w:p w:rsidR="00AB6180" w:rsidRDefault="00AB6180" w:rsidP="00A61841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4F39A6" w:rsidRPr="001D4FAA" w:rsidRDefault="00315DA0" w:rsidP="007F1889">
      <w:pPr>
        <w:spacing w:line="360" w:lineRule="auto"/>
        <w:ind w:firstLine="1134"/>
        <w:jc w:val="both"/>
        <w:rPr>
          <w:rFonts w:ascii="MS Sans Serif" w:hAnsi="MS Sans Serif" w:cs="MS Sans Serif"/>
        </w:rPr>
      </w:pPr>
      <w:r w:rsidRPr="001D4FAA">
        <w:rPr>
          <w:rFonts w:ascii="Arial" w:hAnsi="Arial" w:cs="Arial"/>
        </w:rPr>
        <w:t>Com fulcro no Art. 19 da Resolução n</w:t>
      </w:r>
      <w:r w:rsidRPr="001D4FAA">
        <w:rPr>
          <w:rFonts w:ascii="Arial" w:hAnsi="Arial" w:cs="Arial"/>
          <w:u w:val="single"/>
          <w:vertAlign w:val="superscript"/>
        </w:rPr>
        <w:t>o</w:t>
      </w:r>
      <w:r w:rsidRPr="001D4FAA">
        <w:rPr>
          <w:rFonts w:ascii="Arial" w:hAnsi="Arial" w:cs="Arial"/>
        </w:rPr>
        <w:t xml:space="preserve"> 237, de 19 de dezembro de 1997,</w:t>
      </w:r>
      <w:r w:rsidR="007F1889">
        <w:rPr>
          <w:rFonts w:ascii="Arial" w:hAnsi="Arial" w:cs="Arial"/>
        </w:rPr>
        <w:t xml:space="preserve"> os órgãos ambientais licenciadores podem, </w:t>
      </w:r>
      <w:r w:rsidR="004F39A6" w:rsidRPr="001D4FAA">
        <w:rPr>
          <w:rFonts w:ascii="Arial" w:hAnsi="Arial" w:cs="Arial"/>
        </w:rPr>
        <w:t xml:space="preserve">mediante decisão motivada, modificar os condicionantes e as medidas de controle e adequação, suspender ou cancelar </w:t>
      </w:r>
      <w:r w:rsidR="007F1889">
        <w:rPr>
          <w:rFonts w:ascii="Arial" w:hAnsi="Arial" w:cs="Arial"/>
        </w:rPr>
        <w:t>as</w:t>
      </w:r>
      <w:r w:rsidR="004F39A6" w:rsidRPr="001D4FAA">
        <w:rPr>
          <w:rFonts w:ascii="Arial" w:hAnsi="Arial" w:cs="Arial"/>
        </w:rPr>
        <w:t xml:space="preserve"> licença</w:t>
      </w:r>
      <w:r w:rsidR="007F1889">
        <w:rPr>
          <w:rFonts w:ascii="Arial" w:hAnsi="Arial" w:cs="Arial"/>
        </w:rPr>
        <w:t>s</w:t>
      </w:r>
      <w:r w:rsidR="004F39A6" w:rsidRPr="001D4FAA">
        <w:rPr>
          <w:rFonts w:ascii="Arial" w:hAnsi="Arial" w:cs="Arial"/>
        </w:rPr>
        <w:t xml:space="preserve"> expedida</w:t>
      </w:r>
      <w:r w:rsidR="007F1889">
        <w:rPr>
          <w:rFonts w:ascii="Arial" w:hAnsi="Arial" w:cs="Arial"/>
        </w:rPr>
        <w:t>s</w:t>
      </w:r>
      <w:r w:rsidR="004F39A6" w:rsidRPr="001D4FAA">
        <w:rPr>
          <w:rFonts w:ascii="Arial" w:hAnsi="Arial" w:cs="Arial"/>
        </w:rPr>
        <w:t xml:space="preserve">, quando ocorrer: </w:t>
      </w:r>
    </w:p>
    <w:p w:rsidR="00D8016C" w:rsidRDefault="00D8016C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</w:p>
    <w:p w:rsidR="00F372BA" w:rsidRDefault="00F372BA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  <w:r w:rsidRPr="00F372BA">
        <w:rPr>
          <w:rFonts w:ascii="Arial" w:hAnsi="Arial" w:cs="Arial"/>
        </w:rPr>
        <w:t xml:space="preserve">I - Violação ou inadequação de quaisquer condicionantes ou normas legais. </w:t>
      </w:r>
    </w:p>
    <w:p w:rsidR="00C71A87" w:rsidRDefault="00C71A87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</w:p>
    <w:p w:rsidR="00F372BA" w:rsidRDefault="00F372BA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  <w:r w:rsidRPr="00F372BA">
        <w:rPr>
          <w:rFonts w:ascii="Arial" w:hAnsi="Arial" w:cs="Arial"/>
        </w:rPr>
        <w:t xml:space="preserve"> II - Omissão ou falsa descrição de informações relevantes que subsidiaram a expedição da licença. </w:t>
      </w:r>
    </w:p>
    <w:p w:rsidR="00C71A87" w:rsidRDefault="00C71A87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</w:p>
    <w:p w:rsidR="00F372BA" w:rsidRPr="00F372BA" w:rsidRDefault="00F372BA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MS Sans Serif" w:hAnsi="MS Sans Serif" w:cs="MS Sans Serif"/>
        </w:rPr>
      </w:pPr>
      <w:r w:rsidRPr="00F372BA">
        <w:rPr>
          <w:rFonts w:ascii="Arial" w:hAnsi="Arial" w:cs="Arial"/>
        </w:rPr>
        <w:t xml:space="preserve"> III - Superveniência de graves riscos ambientais e de saúde. </w:t>
      </w:r>
    </w:p>
    <w:p w:rsidR="00F372BA" w:rsidRDefault="00F372BA" w:rsidP="00EE1487">
      <w:pPr>
        <w:widowControl w:val="0"/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</w:rPr>
      </w:pPr>
    </w:p>
    <w:p w:rsidR="00F372BA" w:rsidRDefault="00F372BA" w:rsidP="00EE1487">
      <w:pPr>
        <w:widowControl w:val="0"/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efeito de aplicação dessas medidas, </w:t>
      </w:r>
      <w:r w:rsidR="00EE1487">
        <w:rPr>
          <w:rFonts w:ascii="Arial" w:hAnsi="Arial" w:cs="Arial"/>
        </w:rPr>
        <w:t>é permitido</w:t>
      </w:r>
      <w:r>
        <w:rPr>
          <w:rFonts w:ascii="Arial" w:hAnsi="Arial" w:cs="Arial"/>
        </w:rPr>
        <w:t xml:space="preserve"> </w:t>
      </w:r>
      <w:r w:rsidR="00D8016C">
        <w:rPr>
          <w:rFonts w:ascii="Arial" w:hAnsi="Arial" w:cs="Arial"/>
        </w:rPr>
        <w:t>adotar</w:t>
      </w:r>
      <w:r>
        <w:rPr>
          <w:rFonts w:ascii="Arial" w:hAnsi="Arial" w:cs="Arial"/>
        </w:rPr>
        <w:t xml:space="preserve"> </w:t>
      </w:r>
      <w:r w:rsidR="00EE1487">
        <w:rPr>
          <w:rFonts w:ascii="Arial" w:hAnsi="Arial" w:cs="Arial"/>
        </w:rPr>
        <w:t>e aplicar</w:t>
      </w:r>
      <w:r w:rsidRPr="00F372BA">
        <w:rPr>
          <w:rFonts w:ascii="Arial" w:hAnsi="Arial" w:cs="Arial"/>
        </w:rPr>
        <w:t xml:space="preserve"> </w:t>
      </w:r>
      <w:r w:rsidR="00EE1487">
        <w:rPr>
          <w:rFonts w:ascii="Arial" w:hAnsi="Arial" w:cs="Arial"/>
        </w:rPr>
        <w:t>os seguintes conceitos:</w:t>
      </w:r>
    </w:p>
    <w:p w:rsidR="00C71A87" w:rsidRDefault="00C71A87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</w:p>
    <w:p w:rsidR="004E0524" w:rsidRPr="00EE1487" w:rsidRDefault="00EE1487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Pr="00C71A87">
        <w:rPr>
          <w:rFonts w:ascii="Arial" w:hAnsi="Arial" w:cs="Arial"/>
          <w:i/>
          <w:iCs/>
        </w:rPr>
        <w:t>i</w:t>
      </w:r>
      <w:r>
        <w:rPr>
          <w:rFonts w:ascii="Arial" w:hAnsi="Arial" w:cs="Arial"/>
        </w:rPr>
        <w:t xml:space="preserve">) </w:t>
      </w:r>
      <w:r w:rsidR="004E0524" w:rsidRPr="00EE1487">
        <w:rPr>
          <w:rFonts w:ascii="Arial" w:hAnsi="Arial" w:cs="Arial"/>
        </w:rPr>
        <w:t>Decisão motivada – Decisão fundamentada em análise e parecer de conteúdo técnico e/ou jurídico, que recomenda a adoção da medida;</w:t>
      </w:r>
    </w:p>
    <w:p w:rsidR="00C71A87" w:rsidRDefault="00C71A87" w:rsidP="00EE1487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</w:p>
    <w:p w:rsidR="004E0524" w:rsidRDefault="00EE1487" w:rsidP="00EE1487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 w:rsidRPr="00C71A87">
        <w:rPr>
          <w:rFonts w:ascii="Arial" w:hAnsi="Arial" w:cs="Arial"/>
          <w:i/>
          <w:iCs/>
        </w:rPr>
        <w:t>ii</w:t>
      </w:r>
      <w:proofErr w:type="spellEnd"/>
      <w:r>
        <w:rPr>
          <w:rFonts w:ascii="Arial" w:hAnsi="Arial" w:cs="Arial"/>
        </w:rPr>
        <w:t xml:space="preserve">) </w:t>
      </w:r>
      <w:r w:rsidR="004E0524">
        <w:rPr>
          <w:rFonts w:ascii="Arial" w:hAnsi="Arial" w:cs="Arial"/>
        </w:rPr>
        <w:t xml:space="preserve">Suspensão da licença – Interrupção da eficácia e da validade da </w:t>
      </w:r>
      <w:r w:rsidR="00E9603D">
        <w:rPr>
          <w:rFonts w:ascii="Arial" w:hAnsi="Arial" w:cs="Arial"/>
        </w:rPr>
        <w:t xml:space="preserve">licença por período definido ou até </w:t>
      </w:r>
      <w:r w:rsidR="00C71A87">
        <w:rPr>
          <w:rFonts w:ascii="Arial" w:hAnsi="Arial" w:cs="Arial"/>
        </w:rPr>
        <w:t xml:space="preserve">que sejam </w:t>
      </w:r>
      <w:r w:rsidR="00E9603D">
        <w:rPr>
          <w:rFonts w:ascii="Arial" w:hAnsi="Arial" w:cs="Arial"/>
        </w:rPr>
        <w:t>cumpri</w:t>
      </w:r>
      <w:r w:rsidR="00C71A87">
        <w:rPr>
          <w:rFonts w:ascii="Arial" w:hAnsi="Arial" w:cs="Arial"/>
        </w:rPr>
        <w:t xml:space="preserve">das </w:t>
      </w:r>
      <w:r w:rsidR="00E9603D">
        <w:rPr>
          <w:rFonts w:ascii="Arial" w:hAnsi="Arial" w:cs="Arial"/>
        </w:rPr>
        <w:t>exigências específicas</w:t>
      </w:r>
      <w:r w:rsidR="00D93DEE">
        <w:rPr>
          <w:rFonts w:ascii="Arial" w:hAnsi="Arial" w:cs="Arial"/>
        </w:rPr>
        <w:t xml:space="preserve"> do órgão licenciador</w:t>
      </w:r>
      <w:r w:rsidR="00E9603D">
        <w:rPr>
          <w:rFonts w:ascii="Arial" w:hAnsi="Arial" w:cs="Arial"/>
        </w:rPr>
        <w:t>;</w:t>
      </w:r>
    </w:p>
    <w:p w:rsidR="00C71A87" w:rsidRDefault="00C71A87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</w:p>
    <w:p w:rsidR="00043472" w:rsidRDefault="00EE1487" w:rsidP="00EE148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 w:rsidRPr="00C71A87">
        <w:rPr>
          <w:rFonts w:ascii="Arial" w:hAnsi="Arial" w:cs="Arial"/>
          <w:i/>
          <w:iCs/>
        </w:rPr>
        <w:t>iii</w:t>
      </w:r>
      <w:proofErr w:type="spellEnd"/>
      <w:r>
        <w:rPr>
          <w:rFonts w:ascii="Arial" w:hAnsi="Arial" w:cs="Arial"/>
        </w:rPr>
        <w:t xml:space="preserve">) </w:t>
      </w:r>
      <w:r w:rsidR="00E9603D" w:rsidRPr="00EE1487">
        <w:rPr>
          <w:rFonts w:ascii="Arial" w:hAnsi="Arial" w:cs="Arial"/>
        </w:rPr>
        <w:t>Cancelamento da licença – revogação definitiva da validade da licença concedida</w:t>
      </w:r>
      <w:r w:rsidR="00043472">
        <w:rPr>
          <w:rFonts w:ascii="Arial" w:hAnsi="Arial" w:cs="Arial"/>
        </w:rPr>
        <w:t>.</w:t>
      </w:r>
    </w:p>
    <w:p w:rsidR="00043472" w:rsidRDefault="00043472" w:rsidP="000434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43472" w:rsidRDefault="00043472" w:rsidP="0004347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o Art. 72 da Lei </w:t>
      </w:r>
      <w:r w:rsidR="008C2DA2">
        <w:rPr>
          <w:rFonts w:ascii="Arial" w:hAnsi="Arial" w:cs="Arial"/>
        </w:rPr>
        <w:t xml:space="preserve">Federal </w:t>
      </w:r>
      <w:r>
        <w:rPr>
          <w:rFonts w:ascii="Arial" w:hAnsi="Arial" w:cs="Arial"/>
        </w:rPr>
        <w:t>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9.605, de 12 de fevereiro de 1998, a suspensão parcial ou total de uma atividade é uma sanção e, como tal, deve </w:t>
      </w:r>
      <w:r w:rsidR="008C2DA2">
        <w:rPr>
          <w:rFonts w:ascii="Arial" w:hAnsi="Arial" w:cs="Arial"/>
        </w:rPr>
        <w:t>obedecer ao</w:t>
      </w:r>
      <w:r>
        <w:rPr>
          <w:rFonts w:ascii="Arial" w:hAnsi="Arial" w:cs="Arial"/>
        </w:rPr>
        <w:t xml:space="preserve"> devido processo legal.</w:t>
      </w:r>
    </w:p>
    <w:p w:rsidR="00D8016C" w:rsidRDefault="00D8016C" w:rsidP="0004347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D8016C" w:rsidRDefault="008C2DA2" w:rsidP="0004347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>Não é outro o entendimento do Decreto Federal n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6.514, de 22 de julho de 2008, que </w:t>
      </w:r>
      <w:r w:rsidR="004300B8">
        <w:rPr>
          <w:rFonts w:ascii="Arial" w:hAnsi="Arial" w:cs="Arial"/>
        </w:rPr>
        <w:t xml:space="preserve">regulamenta a lei federal citada e </w:t>
      </w:r>
      <w:r w:rsidRPr="004300B8">
        <w:rPr>
          <w:rFonts w:ascii="Arial" w:hAnsi="Arial" w:cs="Arial"/>
          <w:spacing w:val="-4"/>
        </w:rPr>
        <w:t>estabelece o processo administrativo federal para apuração destas infrações</w:t>
      </w:r>
      <w:r w:rsidR="004300B8">
        <w:rPr>
          <w:rFonts w:ascii="Arial" w:hAnsi="Arial" w:cs="Arial"/>
          <w:spacing w:val="-4"/>
        </w:rPr>
        <w:t xml:space="preserve"> quando, no Art. 20, incisos I e II, trata da suspensão e do cancelamento de registro, licença ou autorização, definindo-as como sanções.  </w:t>
      </w:r>
    </w:p>
    <w:p w:rsidR="000E7E79" w:rsidRDefault="000E7E79" w:rsidP="0004347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pacing w:val="-4"/>
        </w:rPr>
      </w:pPr>
    </w:p>
    <w:p w:rsidR="008C2DA2" w:rsidRDefault="00D8016C" w:rsidP="0004347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Não obstante se tratar de normas federais</w:t>
      </w:r>
      <w:r w:rsidR="00D93DEE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podemos aplicar as regras citadas por analogia.</w:t>
      </w:r>
      <w:r w:rsidR="004300B8">
        <w:rPr>
          <w:rFonts w:ascii="Arial" w:hAnsi="Arial" w:cs="Arial"/>
          <w:spacing w:val="-4"/>
        </w:rPr>
        <w:t xml:space="preserve"> </w:t>
      </w:r>
    </w:p>
    <w:p w:rsidR="0050697C" w:rsidRDefault="0050697C" w:rsidP="0004347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pacing w:val="-4"/>
        </w:rPr>
      </w:pPr>
    </w:p>
    <w:p w:rsidR="0050697C" w:rsidRPr="0050697C" w:rsidRDefault="0050697C" w:rsidP="0004347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MS Sans Serif" w:hAnsi="MS Sans Serif" w:cs="MS Sans Serif"/>
        </w:rPr>
      </w:pPr>
      <w:r>
        <w:rPr>
          <w:rFonts w:ascii="Arial" w:hAnsi="Arial" w:cs="Arial"/>
          <w:spacing w:val="-4"/>
        </w:rPr>
        <w:t>A legislação ambiental do Estado de Alagoas também classifica a suspensão ou cancelamento das licenças como sanções, haja vista o Art. 19 da Lei n</w:t>
      </w:r>
      <w:r>
        <w:rPr>
          <w:rFonts w:ascii="Arial" w:hAnsi="Arial" w:cs="Arial"/>
          <w:spacing w:val="-4"/>
          <w:u w:val="single"/>
          <w:vertAlign w:val="superscript"/>
        </w:rPr>
        <w:t>o</w:t>
      </w:r>
      <w:r>
        <w:rPr>
          <w:rFonts w:ascii="Arial" w:hAnsi="Arial" w:cs="Arial"/>
          <w:spacing w:val="-4"/>
        </w:rPr>
        <w:t xml:space="preserve"> 6.787, de 22 de dezembro de 2006:</w:t>
      </w:r>
    </w:p>
    <w:p w:rsidR="0050697C" w:rsidRPr="0050697C" w:rsidRDefault="0050697C" w:rsidP="005069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S Sans Serif" w:hAnsi="MS Sans Serif" w:cs="MS Sans Serif"/>
        </w:rPr>
      </w:pPr>
    </w:p>
    <w:p w:rsidR="00236878" w:rsidRPr="00236878" w:rsidRDefault="00974F70" w:rsidP="00236878">
      <w:pPr>
        <w:widowControl w:val="0"/>
        <w:autoSpaceDE w:val="0"/>
        <w:autoSpaceDN w:val="0"/>
        <w:adjustRightInd w:val="0"/>
        <w:ind w:left="2268"/>
        <w:jc w:val="both"/>
        <w:rPr>
          <w:rFonts w:ascii="MS Sans Serif" w:hAnsi="MS Sans Serif" w:cs="MS Sans Serif"/>
          <w:i/>
          <w:iCs/>
        </w:rPr>
      </w:pPr>
      <w:r w:rsidRPr="00236878">
        <w:rPr>
          <w:rFonts w:ascii="MS Sans Serif" w:hAnsi="MS Sans Serif" w:cs="MS Sans Serif"/>
          <w:i/>
          <w:iCs/>
        </w:rPr>
        <w:t xml:space="preserve">Art. 19. Sob pena de suspensão ou cancelamento da autorização ou da licença ambiental, fica o empreendedor obrigado a cumprir integralmente as exigências e condições nelas contidas, no projeto executivo e nos estudos ambientais aprovados, sem prejuízo da </w:t>
      </w:r>
      <w:r w:rsidR="00236878" w:rsidRPr="00236878">
        <w:rPr>
          <w:rFonts w:ascii="MS Sans Serif" w:hAnsi="MS Sans Serif" w:cs="MS Sans Serif"/>
          <w:i/>
          <w:iCs/>
        </w:rPr>
        <w:t>sem prejuízo da imposição de outras sanções administrativas, civis e penais, independentes da obrigação de reparar os danos ambientais causados.</w:t>
      </w:r>
    </w:p>
    <w:p w:rsidR="00236878" w:rsidRDefault="00236878" w:rsidP="00347FFE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MS Sans Serif" w:hAnsi="MS Sans Serif" w:cs="MS Sans Serif"/>
        </w:rPr>
      </w:pPr>
    </w:p>
    <w:p w:rsidR="007A1A40" w:rsidRPr="00347FFE" w:rsidRDefault="000E7E79" w:rsidP="00347FFE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MS Sans Serif" w:hAnsi="MS Sans Serif" w:cs="MS Sans Serif"/>
        </w:rPr>
        <w:t>Em se tratando de sanções</w:t>
      </w:r>
      <w:r w:rsidR="00D93DEE">
        <w:rPr>
          <w:rFonts w:ascii="MS Sans Serif" w:hAnsi="MS Sans Serif" w:cs="MS Sans Serif"/>
        </w:rPr>
        <w:t xml:space="preserve"> </w:t>
      </w:r>
      <w:r>
        <w:rPr>
          <w:rFonts w:ascii="MS Sans Serif" w:hAnsi="MS Sans Serif" w:cs="MS Sans Serif"/>
        </w:rPr>
        <w:t xml:space="preserve">aplicadas administrativamente, a suspensão ou o cancelamento das licenças ambientais – por extensão a suspensão da atividade anteriormente licenciada, temporária ou definitivamente, sujeita-se ao contraditório e à ampla defesa. </w:t>
      </w:r>
      <w:r w:rsidR="007A1A40">
        <w:rPr>
          <w:rFonts w:ascii="MS Sans Serif" w:hAnsi="MS Sans Serif" w:cs="MS Sans Serif"/>
        </w:rPr>
        <w:t>Tanto é certo que a Lei n</w:t>
      </w:r>
      <w:r w:rsidR="007A1A40">
        <w:rPr>
          <w:rFonts w:ascii="MS Sans Serif" w:hAnsi="MS Sans Serif" w:cs="MS Sans Serif"/>
          <w:u w:val="single"/>
          <w:vertAlign w:val="superscript"/>
        </w:rPr>
        <w:t>o</w:t>
      </w:r>
      <w:r w:rsidR="007A1A40">
        <w:rPr>
          <w:rFonts w:ascii="MS Sans Serif" w:hAnsi="MS Sans Serif" w:cs="MS Sans Serif"/>
        </w:rPr>
        <w:t xml:space="preserve"> 9/605/</w:t>
      </w:r>
      <w:r w:rsidR="00347FFE">
        <w:rPr>
          <w:rFonts w:ascii="MS Sans Serif" w:hAnsi="MS Sans Serif" w:cs="MS Sans Serif"/>
        </w:rPr>
        <w:t>98 manda aplicar</w:t>
      </w:r>
      <w:r w:rsidR="00347FFE" w:rsidRPr="00347FFE">
        <w:rPr>
          <w:rFonts w:ascii="Arial" w:hAnsi="Arial" w:cs="Arial"/>
        </w:rPr>
        <w:t>,</w:t>
      </w:r>
      <w:r w:rsidR="007A1A40" w:rsidRPr="00347FFE">
        <w:rPr>
          <w:rFonts w:ascii="Arial" w:hAnsi="Arial" w:cs="Arial"/>
        </w:rPr>
        <w:t xml:space="preserve"> subsidiariamente, a legislação penal:</w:t>
      </w:r>
      <w:r w:rsidR="007A1A40" w:rsidRPr="00347FFE">
        <w:rPr>
          <w:rFonts w:ascii="Arial" w:hAnsi="Arial" w:cs="Arial"/>
          <w:sz w:val="20"/>
          <w:szCs w:val="20"/>
        </w:rPr>
        <w:t> </w:t>
      </w:r>
    </w:p>
    <w:p w:rsidR="00347FFE" w:rsidRDefault="00347FFE" w:rsidP="007A1A40">
      <w:pPr>
        <w:pStyle w:val="NormalWeb"/>
        <w:spacing w:before="0" w:beforeAutospacing="0" w:after="0"/>
        <w:ind w:left="1980"/>
        <w:jc w:val="both"/>
        <w:rPr>
          <w:rFonts w:ascii="Calibri" w:hAnsi="Calibri" w:cs="Arial"/>
          <w:b/>
          <w:bCs/>
        </w:rPr>
      </w:pPr>
    </w:p>
    <w:p w:rsidR="007A1A40" w:rsidRPr="00236878" w:rsidRDefault="007A1A40" w:rsidP="00236878">
      <w:pPr>
        <w:pStyle w:val="NormalWeb"/>
        <w:tabs>
          <w:tab w:val="left" w:pos="2127"/>
        </w:tabs>
        <w:spacing w:before="0" w:beforeAutospacing="0" w:after="0"/>
        <w:ind w:left="1980"/>
        <w:jc w:val="both"/>
        <w:rPr>
          <w:rFonts w:ascii="Arial" w:hAnsi="Arial" w:cs="Arial"/>
          <w:i/>
          <w:iCs/>
        </w:rPr>
      </w:pPr>
      <w:r w:rsidRPr="00236878">
        <w:rPr>
          <w:rFonts w:ascii="Arial" w:hAnsi="Arial" w:cs="Arial"/>
          <w:i/>
          <w:iCs/>
        </w:rPr>
        <w:t>Art. 79. Aplicam-se subsidiariamente a esta Lei as disposições do Código Penal e do Código de Processo Penal.</w:t>
      </w:r>
    </w:p>
    <w:p w:rsidR="00A46E91" w:rsidRPr="00236878" w:rsidRDefault="00A46E91" w:rsidP="00236878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ascii="MS Sans Serif" w:hAnsi="MS Sans Serif" w:cs="MS Sans Serif"/>
          <w:i/>
          <w:iCs/>
        </w:rPr>
      </w:pPr>
    </w:p>
    <w:p w:rsidR="00A46E91" w:rsidRDefault="00A46E91" w:rsidP="00A46E91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MS Sans Serif" w:hAnsi="MS Sans Serif" w:cs="MS Sans Serif"/>
        </w:rPr>
        <w:t xml:space="preserve">É farta a jurisprudência dos tribunais superiores sobre a necessidade do devido processo legal para o sancionamento administrativo. Apenas exemplificando, veja-se </w:t>
      </w:r>
      <w:r>
        <w:rPr>
          <w:rFonts w:ascii="Arial" w:hAnsi="Arial" w:cs="Arial"/>
        </w:rPr>
        <w:t xml:space="preserve">a posição do Ministro Napoleão Nunes Maia Filho, do Superior Tribunal de Justiça, ao relatar o Recurso em Mandado de Segurança (2007/0165377-1) sobre a submissão da ação administrativa sancionadora aos princípios do Direito Penal: </w:t>
      </w:r>
    </w:p>
    <w:p w:rsidR="00A46E91" w:rsidRDefault="00A46E91" w:rsidP="00A46E91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A46E91" w:rsidRPr="00A46E91" w:rsidRDefault="00A46E91" w:rsidP="007A1A40">
      <w:pPr>
        <w:widowControl w:val="0"/>
        <w:autoSpaceDE w:val="0"/>
        <w:autoSpaceDN w:val="0"/>
        <w:adjustRightInd w:val="0"/>
        <w:ind w:left="2268"/>
        <w:jc w:val="both"/>
        <w:rPr>
          <w:rFonts w:ascii="Tahoma" w:hAnsi="Tahoma" w:cs="Tahoma"/>
        </w:rPr>
      </w:pPr>
      <w:r w:rsidRPr="00465305">
        <w:rPr>
          <w:rFonts w:ascii="Tahoma" w:hAnsi="Tahoma" w:cs="Tahoma"/>
          <w:i/>
          <w:iCs/>
        </w:rPr>
        <w:t>“Consoante precisas lições de eminentes doutrinadores e processualistas modernos, à atividade sancionatória ou disciplinar da Administração Pública se aplicam os princípios, garantias e normas que regem o Processo Penal comum, em respeito aos valores de proteção e defesa das liberdades individuais e da dignidade da pessoa humana, que se plasmaram no campo daquela disciplina</w:t>
      </w:r>
      <w:r w:rsidRPr="00A46E91">
        <w:rPr>
          <w:rFonts w:ascii="Tahoma" w:hAnsi="Tahoma" w:cs="Tahoma"/>
        </w:rPr>
        <w:t>” (STJ – Recurso em Mandado de Segurança n</w:t>
      </w:r>
      <w:r w:rsidRPr="00A46E91">
        <w:rPr>
          <w:rFonts w:ascii="Tahoma" w:hAnsi="Tahoma" w:cs="Tahoma"/>
          <w:u w:val="single"/>
          <w:vertAlign w:val="superscript"/>
        </w:rPr>
        <w:t>o</w:t>
      </w:r>
      <w:r w:rsidRPr="00A46E91">
        <w:rPr>
          <w:rFonts w:ascii="Tahoma" w:hAnsi="Tahoma" w:cs="Tahoma"/>
        </w:rPr>
        <w:t xml:space="preserve"> 24.559 - 2007/0165377-1 – julgado em 03.12.2009) </w:t>
      </w:r>
      <w:r w:rsidRPr="00A46E91">
        <w:rPr>
          <w:rStyle w:val="Refdenotaderodap"/>
          <w:rFonts w:ascii="Tahoma" w:hAnsi="Tahoma" w:cs="Tahoma"/>
        </w:rPr>
        <w:footnoteReference w:id="1"/>
      </w:r>
      <w:r w:rsidRPr="00A46E91">
        <w:rPr>
          <w:rFonts w:ascii="Tahoma" w:hAnsi="Tahoma" w:cs="Tahoma"/>
        </w:rPr>
        <w:t>.</w:t>
      </w:r>
    </w:p>
    <w:p w:rsidR="00A46E91" w:rsidRPr="00A61841" w:rsidRDefault="00A46E91" w:rsidP="0004347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MS Sans Serif" w:hAnsi="MS Sans Serif" w:cs="MS Sans Serif"/>
        </w:rPr>
      </w:pPr>
    </w:p>
    <w:p w:rsidR="007A1A40" w:rsidRDefault="007A1A40" w:rsidP="007A1A40">
      <w:pPr>
        <w:spacing w:line="360" w:lineRule="auto"/>
        <w:ind w:firstLine="1077"/>
        <w:jc w:val="both"/>
        <w:rPr>
          <w:rFonts w:ascii="Arial" w:hAnsi="Arial" w:cs="Arial"/>
        </w:rPr>
      </w:pPr>
      <w:r w:rsidRPr="006D5026">
        <w:rPr>
          <w:rFonts w:ascii="Arial" w:hAnsi="Arial" w:cs="Arial"/>
        </w:rPr>
        <w:t>O eminente</w:t>
      </w:r>
      <w:r>
        <w:rPr>
          <w:rFonts w:ascii="Arial" w:hAnsi="Arial" w:cs="Arial"/>
        </w:rPr>
        <w:t xml:space="preserve"> Ministro, em artigo publicado em 25.03.2012, sob o título “Direito Sancionador”</w:t>
      </w:r>
      <w:r>
        <w:rPr>
          <w:rStyle w:val="Refdenotaderoda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, faz uma percuciente análise do desrespeito da Administração ao “justo processo jurídico”: </w:t>
      </w:r>
    </w:p>
    <w:p w:rsidR="007A1A40" w:rsidRDefault="007A1A40" w:rsidP="007A1A40">
      <w:pPr>
        <w:spacing w:line="348" w:lineRule="atLeast"/>
        <w:rPr>
          <w:rFonts w:ascii="Arial" w:hAnsi="Arial" w:cs="Arial"/>
        </w:rPr>
      </w:pPr>
    </w:p>
    <w:p w:rsidR="007A1A40" w:rsidRPr="00236878" w:rsidRDefault="007A1A40" w:rsidP="007A1A40">
      <w:pPr>
        <w:ind w:left="1980"/>
        <w:jc w:val="both"/>
        <w:rPr>
          <w:rFonts w:ascii="Tahoma" w:hAnsi="Tahoma" w:cs="Tahoma"/>
          <w:i/>
          <w:iCs/>
        </w:rPr>
      </w:pPr>
      <w:r w:rsidRPr="00236878">
        <w:rPr>
          <w:rFonts w:ascii="Tahoma" w:hAnsi="Tahoma" w:cs="Tahoma"/>
          <w:i/>
          <w:iCs/>
        </w:rPr>
        <w:t xml:space="preserve">“Não poucos eminentes juristas, alguns até da maior suposição, têm afirmado ultimamente, ao meu ver sem </w:t>
      </w:r>
      <w:r w:rsidRPr="00236878">
        <w:rPr>
          <w:rFonts w:ascii="Tahoma" w:hAnsi="Tahoma" w:cs="Tahoma"/>
          <w:i/>
          <w:iCs/>
        </w:rPr>
        <w:lastRenderedPageBreak/>
        <w:t>maiores reflexões sobre o tema, que o instituto da "presunção de inocência", tão caro aos penalistas, somente teria aplicação no domínio estrito do Direito Penal; para chegarem a essa conclusão, sustentam que essa presunção se refere, apenas, à imputação de "crimes", não alcançando, portanto, a imputação de "outras infrações", e acrescentam, ainda, que a aplicação de "penas" diz respeito tão só e somente a "sanções criminais", não a outras.</w:t>
      </w:r>
    </w:p>
    <w:p w:rsidR="007A1A40" w:rsidRPr="00236878" w:rsidRDefault="007A1A40" w:rsidP="007A1A40">
      <w:pPr>
        <w:ind w:left="1980"/>
        <w:jc w:val="both"/>
        <w:rPr>
          <w:rFonts w:ascii="Tahoma" w:hAnsi="Tahoma" w:cs="Tahoma"/>
          <w:i/>
          <w:iCs/>
        </w:rPr>
      </w:pPr>
      <w:r w:rsidRPr="00236878">
        <w:rPr>
          <w:rFonts w:ascii="Tahoma" w:hAnsi="Tahoma" w:cs="Tahoma"/>
          <w:i/>
          <w:iCs/>
        </w:rPr>
        <w:br/>
        <w:t xml:space="preserve">Creio que essa seja uma orientação que não pode ser aceita sem "severíssimas reservas" e mesmo "abertas contestações"; </w:t>
      </w:r>
      <w:r w:rsidRPr="00236878">
        <w:rPr>
          <w:rFonts w:ascii="Tahoma" w:hAnsi="Tahoma" w:cs="Tahoma"/>
          <w:b/>
          <w:bCs/>
          <w:i/>
          <w:iCs/>
          <w:u w:val="single"/>
        </w:rPr>
        <w:t>em primeiro lugar, veja-se que não há distinção ontológica entre o processo judicial - o processo penal, inclusive - e o processo administrativo sancionador, porquanto, a teor do art. 5º, LV da Constituição Federal, aos litigantes, em processo judicial ou administrativo, e aos acusados em geral são assegurados o contraditório e ampla defesa, com os meios e recursos a ela</w:t>
      </w:r>
      <w:r w:rsidRPr="00236878">
        <w:rPr>
          <w:rFonts w:ascii="Tahoma" w:hAnsi="Tahoma" w:cs="Tahoma"/>
          <w:i/>
          <w:iCs/>
        </w:rPr>
        <w:t xml:space="preserve"> </w:t>
      </w:r>
      <w:r w:rsidRPr="00236878">
        <w:rPr>
          <w:rFonts w:ascii="Tahoma" w:hAnsi="Tahoma" w:cs="Tahoma"/>
          <w:b/>
          <w:bCs/>
          <w:i/>
          <w:iCs/>
          <w:u w:val="single"/>
        </w:rPr>
        <w:t>inerentes, proclamando essa evidente igualdade</w:t>
      </w:r>
      <w:r w:rsidRPr="00236878">
        <w:rPr>
          <w:rFonts w:ascii="Tahoma" w:hAnsi="Tahoma" w:cs="Tahoma"/>
          <w:i/>
          <w:iCs/>
        </w:rPr>
        <w:t xml:space="preserve">. A dicção constitucional, pela clareza dos seus termos, não comporta temperamentos nem exceções, nivelando "todos" os processos, no que se refere às garantias das pessoas indiciadas, sintetizadas sob o rótulo do "justo processo jurídico"; esse dispositivo da Constituição dá fundamento ao moderno Direito Sancionador, o ramo da Ciência Jurídica que sistematiza os métodos de asseguramento da "inteireza positiva" (expressão do Prof. Luiz Pinto Ferreira, da UFPE) do ordenamento jurídico, sancionando os infratores de suas normas; </w:t>
      </w:r>
      <w:r w:rsidRPr="00236878">
        <w:rPr>
          <w:rFonts w:ascii="Tahoma" w:hAnsi="Tahoma" w:cs="Tahoma"/>
          <w:b/>
          <w:bCs/>
          <w:i/>
          <w:iCs/>
          <w:u w:val="single"/>
        </w:rPr>
        <w:t>o Direito Sancionador tem no Direito Penal (que tipifica as condutas e atribui as sanções) e no Processo Penal (que organiza as garantias subjetivas) as "grandes fontes" dos seus institutos, por isso que as prerrogativas processuais atuam (e o Judiciário deve prover esse resultado) de modo uniforme nas diversas "províncias" sancionatórias</w:t>
      </w:r>
      <w:r w:rsidRPr="00236878">
        <w:rPr>
          <w:rFonts w:ascii="Tahoma" w:hAnsi="Tahoma" w:cs="Tahoma"/>
          <w:i/>
          <w:iCs/>
        </w:rPr>
        <w:t xml:space="preserve">: nos crimes (Direito Penal), </w:t>
      </w:r>
      <w:r w:rsidRPr="00236878">
        <w:rPr>
          <w:rFonts w:ascii="Tahoma" w:hAnsi="Tahoma" w:cs="Tahoma"/>
          <w:b/>
          <w:bCs/>
          <w:i/>
          <w:iCs/>
          <w:u w:val="single"/>
        </w:rPr>
        <w:t>nas infrações administrativas de pessoas alheias à Administração (Direito Administrativo Sancionador)</w:t>
      </w:r>
      <w:r w:rsidRPr="00236878">
        <w:rPr>
          <w:rFonts w:ascii="Tahoma" w:hAnsi="Tahoma" w:cs="Tahoma"/>
          <w:i/>
          <w:iCs/>
        </w:rPr>
        <w:t xml:space="preserve">, nos ilícitos funcionais (Direito Disciplinar) e, por extensão, em quaisquer relações que tendam à aplicação de sanções, sejam penais ou </w:t>
      </w:r>
      <w:proofErr w:type="spellStart"/>
      <w:r w:rsidRPr="00236878">
        <w:rPr>
          <w:rFonts w:ascii="Tahoma" w:hAnsi="Tahoma" w:cs="Tahoma"/>
          <w:i/>
          <w:iCs/>
        </w:rPr>
        <w:t>extra-penais</w:t>
      </w:r>
      <w:proofErr w:type="spellEnd"/>
      <w:r w:rsidRPr="00236878">
        <w:rPr>
          <w:rFonts w:ascii="Tahoma" w:hAnsi="Tahoma" w:cs="Tahoma"/>
          <w:i/>
          <w:iCs/>
        </w:rPr>
        <w:t>.</w:t>
      </w:r>
    </w:p>
    <w:p w:rsidR="007A1A40" w:rsidRPr="00236878" w:rsidRDefault="007A1A40" w:rsidP="007A1A40">
      <w:pPr>
        <w:ind w:left="1980"/>
        <w:jc w:val="both"/>
        <w:rPr>
          <w:rFonts w:ascii="Tahoma" w:hAnsi="Tahoma" w:cs="Tahoma"/>
          <w:b/>
          <w:bCs/>
          <w:i/>
          <w:iCs/>
          <w:u w:val="single"/>
        </w:rPr>
      </w:pPr>
      <w:r w:rsidRPr="00236878">
        <w:rPr>
          <w:rFonts w:ascii="Tahoma" w:hAnsi="Tahoma" w:cs="Tahoma"/>
          <w:i/>
          <w:iCs/>
        </w:rPr>
        <w:br/>
        <w:t xml:space="preserve">Dessa forma, "todos" os institutos </w:t>
      </w:r>
      <w:proofErr w:type="spellStart"/>
      <w:r w:rsidRPr="00236878">
        <w:rPr>
          <w:rFonts w:ascii="Tahoma" w:hAnsi="Tahoma" w:cs="Tahoma"/>
          <w:i/>
          <w:iCs/>
        </w:rPr>
        <w:t>jusprocessuais</w:t>
      </w:r>
      <w:proofErr w:type="spellEnd"/>
      <w:r w:rsidRPr="00236878">
        <w:rPr>
          <w:rFonts w:ascii="Tahoma" w:hAnsi="Tahoma" w:cs="Tahoma"/>
          <w:i/>
          <w:iCs/>
        </w:rPr>
        <w:t xml:space="preserve"> (tais como a anterioridade da norma incriminadora, a presunção de inocência, até o trânsito em julgado de decisão condenatória, o direito ao silêncio, a cláusula in dubio pro reo, a exclusão de provas ilícitas, o contraditório e os recursos, dentre outros) podem e devem ter aplicação em "todos" os ramos </w:t>
      </w:r>
      <w:r w:rsidRPr="00236878">
        <w:rPr>
          <w:rFonts w:ascii="Tahoma" w:hAnsi="Tahoma" w:cs="Tahoma"/>
          <w:i/>
          <w:iCs/>
        </w:rPr>
        <w:lastRenderedPageBreak/>
        <w:t xml:space="preserve">do Direito Sancionador; </w:t>
      </w:r>
      <w:r w:rsidRPr="00236878">
        <w:rPr>
          <w:rFonts w:ascii="Tahoma" w:hAnsi="Tahoma" w:cs="Tahoma"/>
          <w:b/>
          <w:bCs/>
          <w:i/>
          <w:iCs/>
          <w:u w:val="single"/>
        </w:rPr>
        <w:t>isso quer dizer que o sancionamento de "qualquer infração", seja de que natureza for, somente será juridicamente válido se atender as exigências do "justo processo jurídico", pois sem a observância de seus requisitos a imposição da sanção será, apenas, um ato de força, não o resultado de um julgamento.</w:t>
      </w:r>
    </w:p>
    <w:p w:rsidR="007A1A40" w:rsidRDefault="007A1A40" w:rsidP="00D93DEE">
      <w:pPr>
        <w:ind w:left="1980"/>
        <w:jc w:val="both"/>
        <w:rPr>
          <w:rFonts w:ascii="Arial" w:hAnsi="Arial" w:cs="Arial"/>
          <w:b/>
          <w:bCs/>
        </w:rPr>
      </w:pPr>
      <w:r w:rsidRPr="00236878">
        <w:rPr>
          <w:rFonts w:ascii="Tahoma" w:hAnsi="Tahoma" w:cs="Tahoma"/>
          <w:i/>
          <w:iCs/>
        </w:rPr>
        <w:br/>
      </w:r>
    </w:p>
    <w:p w:rsidR="00002787" w:rsidRPr="00002787" w:rsidRDefault="00347FFE" w:rsidP="00347FFE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 w:rsidRPr="00002787">
        <w:rPr>
          <w:rFonts w:ascii="Arial" w:hAnsi="Arial" w:cs="Arial"/>
        </w:rPr>
        <w:t>É entendimento firme desta área jurídica</w:t>
      </w:r>
      <w:r w:rsidR="00002787" w:rsidRPr="00002787">
        <w:rPr>
          <w:rFonts w:ascii="Arial" w:hAnsi="Arial" w:cs="Arial"/>
        </w:rPr>
        <w:t xml:space="preserve"> que as sanções de suspensão ou cancelamento das licenças ambientais devem obedecer a três premissas: </w:t>
      </w:r>
    </w:p>
    <w:p w:rsidR="00D93DEE" w:rsidRDefault="00D93DEE" w:rsidP="00D93DEE">
      <w:pPr>
        <w:pStyle w:val="PargrafodaLista"/>
        <w:tabs>
          <w:tab w:val="left" w:pos="280"/>
        </w:tabs>
        <w:spacing w:line="360" w:lineRule="auto"/>
        <w:ind w:left="1494"/>
        <w:jc w:val="both"/>
        <w:rPr>
          <w:rFonts w:ascii="Arial" w:hAnsi="Arial" w:cs="Arial"/>
        </w:rPr>
      </w:pPr>
    </w:p>
    <w:p w:rsidR="00002787" w:rsidRPr="00002787" w:rsidRDefault="00002787" w:rsidP="00002787">
      <w:pPr>
        <w:pStyle w:val="PargrafodaLista"/>
        <w:numPr>
          <w:ilvl w:val="0"/>
          <w:numId w:val="3"/>
        </w:numPr>
        <w:tabs>
          <w:tab w:val="left" w:pos="280"/>
        </w:tabs>
        <w:spacing w:line="360" w:lineRule="auto"/>
        <w:jc w:val="both"/>
        <w:rPr>
          <w:rFonts w:ascii="Arial" w:hAnsi="Arial" w:cs="Arial"/>
        </w:rPr>
      </w:pPr>
      <w:r w:rsidRPr="00002787">
        <w:rPr>
          <w:rFonts w:ascii="Arial" w:hAnsi="Arial" w:cs="Arial"/>
        </w:rPr>
        <w:t>Que a decisão seja motivada, vale dizer, fundamentada em elementos técnicos ou jurídicos que a justifiquem;</w:t>
      </w:r>
    </w:p>
    <w:p w:rsidR="00D93DEE" w:rsidRDefault="00D93DEE" w:rsidP="00D93DEE">
      <w:pPr>
        <w:pStyle w:val="PargrafodaLista"/>
        <w:tabs>
          <w:tab w:val="left" w:pos="280"/>
        </w:tabs>
        <w:spacing w:line="360" w:lineRule="auto"/>
        <w:ind w:left="1494"/>
        <w:jc w:val="both"/>
        <w:rPr>
          <w:rFonts w:ascii="Arial" w:hAnsi="Arial" w:cs="Arial"/>
        </w:rPr>
      </w:pPr>
    </w:p>
    <w:p w:rsidR="00E21C78" w:rsidRDefault="00002787" w:rsidP="00002787">
      <w:pPr>
        <w:pStyle w:val="PargrafodaLista"/>
        <w:numPr>
          <w:ilvl w:val="0"/>
          <w:numId w:val="3"/>
        </w:numPr>
        <w:tabs>
          <w:tab w:val="left" w:pos="280"/>
        </w:tabs>
        <w:spacing w:line="360" w:lineRule="auto"/>
        <w:jc w:val="both"/>
        <w:rPr>
          <w:rFonts w:ascii="Arial" w:hAnsi="Arial" w:cs="Arial"/>
        </w:rPr>
      </w:pPr>
      <w:r w:rsidRPr="00002787">
        <w:rPr>
          <w:rFonts w:ascii="Arial" w:hAnsi="Arial" w:cs="Arial"/>
        </w:rPr>
        <w:t>Que seja proferida pela mesma autoridade competente para</w:t>
      </w:r>
      <w:r w:rsidR="00E21C78">
        <w:rPr>
          <w:rFonts w:ascii="Arial" w:hAnsi="Arial" w:cs="Arial"/>
        </w:rPr>
        <w:t xml:space="preserve"> emitir a licença;</w:t>
      </w:r>
    </w:p>
    <w:p w:rsidR="00D93DEE" w:rsidRDefault="00D93DEE" w:rsidP="00D93DEE">
      <w:pPr>
        <w:pStyle w:val="PargrafodaLista"/>
        <w:tabs>
          <w:tab w:val="left" w:pos="280"/>
        </w:tabs>
        <w:spacing w:line="360" w:lineRule="auto"/>
        <w:ind w:left="1494"/>
        <w:jc w:val="both"/>
        <w:rPr>
          <w:rFonts w:ascii="Arial" w:hAnsi="Arial" w:cs="Arial"/>
        </w:rPr>
      </w:pPr>
    </w:p>
    <w:p w:rsidR="00347FFE" w:rsidRDefault="00E21C78" w:rsidP="00002787">
      <w:pPr>
        <w:pStyle w:val="PargrafodaLista"/>
        <w:numPr>
          <w:ilvl w:val="0"/>
          <w:numId w:val="3"/>
        </w:numPr>
        <w:tabs>
          <w:tab w:val="left" w:pos="2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seja aplicada após o contraditório, em homenagem às garantias constitucionais</w:t>
      </w:r>
      <w:r w:rsidR="00E86672">
        <w:rPr>
          <w:rFonts w:ascii="Arial" w:hAnsi="Arial" w:cs="Arial"/>
        </w:rPr>
        <w:t xml:space="preserve"> da ampla defesa</w:t>
      </w:r>
      <w:r>
        <w:rPr>
          <w:rFonts w:ascii="Arial" w:hAnsi="Arial" w:cs="Arial"/>
        </w:rPr>
        <w:t>.</w:t>
      </w:r>
      <w:r w:rsidR="00002787" w:rsidRPr="00002787">
        <w:rPr>
          <w:rFonts w:ascii="Arial" w:hAnsi="Arial" w:cs="Arial"/>
        </w:rPr>
        <w:t xml:space="preserve">  </w:t>
      </w:r>
      <w:r w:rsidR="00347FFE" w:rsidRPr="00002787">
        <w:rPr>
          <w:rFonts w:ascii="Arial" w:hAnsi="Arial" w:cs="Arial"/>
        </w:rPr>
        <w:t xml:space="preserve"> </w:t>
      </w:r>
    </w:p>
    <w:p w:rsidR="00C81E46" w:rsidRDefault="00C81E46" w:rsidP="00236878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236878" w:rsidRDefault="00236878" w:rsidP="00236878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A0274">
        <w:rPr>
          <w:rFonts w:ascii="Arial" w:hAnsi="Arial" w:cs="Arial"/>
        </w:rPr>
        <w:t>pergunta que certamente surgirá de pronto é quanto a empreendimentos, obras ou atividades que põem em risco a saúde humana ou o meio ambiente e que exigem providências imediatas. Estariam as mesmas sujeitas, também, à formalização de processo e ao respeito os prazos de defesa?</w:t>
      </w:r>
    </w:p>
    <w:p w:rsidR="007A0274" w:rsidRDefault="007A0274" w:rsidP="00C81E46">
      <w:pPr>
        <w:tabs>
          <w:tab w:val="left" w:pos="280"/>
        </w:tabs>
        <w:spacing w:line="360" w:lineRule="auto"/>
        <w:ind w:firstLine="1134"/>
        <w:rPr>
          <w:rFonts w:ascii="Arial" w:hAnsi="Arial" w:cs="Arial"/>
        </w:rPr>
      </w:pPr>
    </w:p>
    <w:p w:rsidR="007A0274" w:rsidRDefault="007A0274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Entendemos que não. Mas o remédio jurídico à disposição dos</w:t>
      </w:r>
      <w:r w:rsidR="00C81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agentes públicos</w:t>
      </w:r>
      <w:r w:rsidR="00BD3A8C">
        <w:rPr>
          <w:rFonts w:ascii="Arial" w:hAnsi="Arial" w:cs="Arial"/>
        </w:rPr>
        <w:t xml:space="preserve"> para paralisar alguma obra ou atividade</w:t>
      </w:r>
      <w:r w:rsidR="00C81E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nestes casos</w:t>
      </w:r>
      <w:r w:rsidR="00C81E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é a suspensão ou cancelamento das licenças. É o embargo</w:t>
      </w:r>
      <w:r w:rsidR="00BD3A8C">
        <w:rPr>
          <w:rFonts w:ascii="Arial" w:hAnsi="Arial" w:cs="Arial"/>
        </w:rPr>
        <w:t>!</w:t>
      </w:r>
    </w:p>
    <w:p w:rsidR="00C81E46" w:rsidRDefault="00C81E46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EF14F7" w:rsidRDefault="00C81E46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Existem, na legislação ambiental brasileira, dois tipos de embargos. O Embargo Acautelató</w:t>
      </w:r>
      <w:r w:rsidR="00EF14F7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="00EF14F7">
        <w:rPr>
          <w:rFonts w:ascii="Arial" w:hAnsi="Arial" w:cs="Arial"/>
        </w:rPr>
        <w:t xml:space="preserve">, que pode ser aplicado de pronto pelo agente fiscalizador quando presente risco iminente de danos para a saúde ou para o </w:t>
      </w:r>
      <w:r w:rsidR="00EF14F7">
        <w:rPr>
          <w:rFonts w:ascii="Arial" w:hAnsi="Arial" w:cs="Arial"/>
        </w:rPr>
        <w:lastRenderedPageBreak/>
        <w:t>meio ambiente e o Embargo Sancionatório, que pode ser aplicado</w:t>
      </w:r>
      <w:r w:rsidR="00E86672">
        <w:rPr>
          <w:rFonts w:ascii="Arial" w:hAnsi="Arial" w:cs="Arial"/>
        </w:rPr>
        <w:t xml:space="preserve"> pela autoridade julgadora</w:t>
      </w:r>
      <w:r w:rsidR="00EF14F7">
        <w:rPr>
          <w:rFonts w:ascii="Arial" w:hAnsi="Arial" w:cs="Arial"/>
        </w:rPr>
        <w:t xml:space="preserve"> após o devido processo legal</w:t>
      </w:r>
      <w:proofErr w:type="gramStart"/>
      <w:r w:rsidR="00EF14F7">
        <w:rPr>
          <w:rFonts w:ascii="Arial" w:hAnsi="Arial" w:cs="Arial"/>
        </w:rPr>
        <w:t>,.</w:t>
      </w:r>
      <w:proofErr w:type="gramEnd"/>
    </w:p>
    <w:p w:rsidR="00EF14F7" w:rsidRDefault="00EF14F7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EF14F7" w:rsidRDefault="00EF14F7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primeiro, cautelar, prescinde da ampla defesa e do contraditório. É regido pelos princípios da precaução ou da prevenção. O segundo é sanção e, como tal, somente pode ser aplicado depois d</w:t>
      </w:r>
      <w:r w:rsidR="00BD3A8C">
        <w:rPr>
          <w:rFonts w:ascii="Arial" w:hAnsi="Arial" w:cs="Arial"/>
        </w:rPr>
        <w:t>o devido processo legal.</w:t>
      </w:r>
    </w:p>
    <w:p w:rsidR="00BD3A8C" w:rsidRDefault="00BD3A8C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BD3A8C" w:rsidRDefault="00BD3A8C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Estes são os instrumentos a disposição dos agentes públicos </w:t>
      </w:r>
      <w:r w:rsidR="00E86672">
        <w:rPr>
          <w:rFonts w:ascii="Arial" w:hAnsi="Arial" w:cs="Arial"/>
        </w:rPr>
        <w:t xml:space="preserve">investidos de poder de polícia </w:t>
      </w:r>
      <w:r>
        <w:rPr>
          <w:rFonts w:ascii="Arial" w:hAnsi="Arial" w:cs="Arial"/>
        </w:rPr>
        <w:t>para suspender atividades, obras ou empreendimentos que põe em risco o meio ambiente e a saúde humana.</w:t>
      </w:r>
    </w:p>
    <w:p w:rsidR="00BD3A8C" w:rsidRDefault="00BD3A8C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BD3A8C" w:rsidRDefault="00BD3A8C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suspensão ou cancelamento das licenças ambientais somente pode ser aplicada depois do devido processo legal, deve ser decisão fundamentada e emanada da autoridade competente para a emissão da</w:t>
      </w:r>
      <w:r w:rsidR="005869B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licença</w:t>
      </w:r>
      <w:r w:rsidR="005869B4">
        <w:rPr>
          <w:rFonts w:ascii="Arial" w:hAnsi="Arial" w:cs="Arial"/>
        </w:rPr>
        <w:t>s.</w:t>
      </w:r>
    </w:p>
    <w:p w:rsidR="005869B4" w:rsidRDefault="005869B4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5869B4" w:rsidRDefault="005869B4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Este é, SMJ, a opinião desta Coordenadoria Jurídica.</w:t>
      </w:r>
    </w:p>
    <w:p w:rsidR="005869B4" w:rsidRDefault="005869B4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5869B4" w:rsidRDefault="005869B4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Maceió,</w:t>
      </w:r>
      <w:proofErr w:type="gramStart"/>
      <w:r>
        <w:rPr>
          <w:rFonts w:ascii="Arial" w:hAnsi="Arial" w:cs="Arial"/>
        </w:rPr>
        <w:t>.....</w:t>
      </w:r>
      <w:proofErr w:type="gramEnd"/>
    </w:p>
    <w:p w:rsidR="00C81E46" w:rsidRDefault="00C81E46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5869B4" w:rsidRPr="00236878" w:rsidRDefault="005869B4" w:rsidP="00C81E46">
      <w:pPr>
        <w:tabs>
          <w:tab w:val="left" w:pos="280"/>
        </w:tabs>
        <w:spacing w:line="360" w:lineRule="auto"/>
        <w:ind w:firstLine="1134"/>
        <w:jc w:val="both"/>
        <w:rPr>
          <w:rFonts w:ascii="Arial" w:hAnsi="Arial" w:cs="Arial"/>
        </w:rPr>
      </w:pPr>
    </w:p>
    <w:sectPr w:rsidR="005869B4" w:rsidRPr="00236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C4" w:rsidRDefault="00B73CC4" w:rsidP="00A46E91">
      <w:r>
        <w:separator/>
      </w:r>
    </w:p>
  </w:endnote>
  <w:endnote w:type="continuationSeparator" w:id="0">
    <w:p w:rsidR="00B73CC4" w:rsidRDefault="00B73CC4" w:rsidP="00A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C4" w:rsidRDefault="00B73CC4" w:rsidP="00A46E91">
      <w:r>
        <w:separator/>
      </w:r>
    </w:p>
  </w:footnote>
  <w:footnote w:type="continuationSeparator" w:id="0">
    <w:p w:rsidR="00B73CC4" w:rsidRDefault="00B73CC4" w:rsidP="00A46E91">
      <w:r>
        <w:continuationSeparator/>
      </w:r>
    </w:p>
  </w:footnote>
  <w:footnote w:id="1">
    <w:p w:rsidR="00A46E91" w:rsidRPr="00A77AAC" w:rsidRDefault="00A46E91" w:rsidP="00A46E91">
      <w:pPr>
        <w:tabs>
          <w:tab w:val="left" w:pos="280"/>
        </w:tabs>
        <w:jc w:val="both"/>
        <w:rPr>
          <w:rFonts w:ascii="Segoe UI" w:hAnsi="Segoe UI" w:cs="Segoe UI"/>
          <w:sz w:val="20"/>
          <w:szCs w:val="20"/>
        </w:rPr>
      </w:pPr>
      <w:r w:rsidRPr="00A321E7">
        <w:rPr>
          <w:rStyle w:val="Refdenotaderodap"/>
          <w:rFonts w:ascii="Segoe UI" w:hAnsi="Segoe UI" w:cs="Segoe UI"/>
          <w:sz w:val="20"/>
          <w:szCs w:val="20"/>
        </w:rPr>
        <w:footnoteRef/>
      </w:r>
      <w:r w:rsidRPr="00A321E7">
        <w:rPr>
          <w:rFonts w:ascii="Segoe UI" w:hAnsi="Segoe UI" w:cs="Segoe UI"/>
          <w:sz w:val="20"/>
          <w:szCs w:val="20"/>
        </w:rPr>
        <w:t xml:space="preserve"> </w:t>
      </w:r>
      <w:r w:rsidRPr="00A77AAC">
        <w:rPr>
          <w:rFonts w:ascii="Segoe UI" w:hAnsi="Segoe UI" w:cs="Segoe UI"/>
          <w:sz w:val="20"/>
          <w:szCs w:val="20"/>
        </w:rPr>
        <w:t>Inteiro Teor do Acórdão - DJ: 01/02/2010</w:t>
      </w:r>
    </w:p>
  </w:footnote>
  <w:footnote w:id="2">
    <w:p w:rsidR="007A1A40" w:rsidRPr="00A77AAC" w:rsidRDefault="007A1A40" w:rsidP="007A1A40">
      <w:pPr>
        <w:tabs>
          <w:tab w:val="left" w:pos="280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A77AAC">
        <w:rPr>
          <w:rStyle w:val="Refdenotaderodap"/>
        </w:rPr>
        <w:footnoteRef/>
      </w:r>
      <w:r w:rsidRPr="00A77AAC">
        <w:t xml:space="preserve"> </w:t>
      </w:r>
      <w:r w:rsidRPr="00A77AAC">
        <w:rPr>
          <w:rFonts w:ascii="Segoe UI" w:hAnsi="Segoe UI" w:cs="Segoe UI"/>
          <w:sz w:val="20"/>
          <w:szCs w:val="20"/>
        </w:rPr>
        <w:t>http://diariodonordeste.globo.com/materia.asp?codigo=1119115.</w:t>
      </w:r>
    </w:p>
    <w:p w:rsidR="007A1A40" w:rsidRDefault="007A1A40" w:rsidP="007A1A40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A02"/>
    <w:multiLevelType w:val="hybridMultilevel"/>
    <w:tmpl w:val="1AC6A634"/>
    <w:lvl w:ilvl="0" w:tplc="01DE101A">
      <w:start w:val="1"/>
      <w:numFmt w:val="upperRoman"/>
      <w:lvlText w:val="%1)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34155D"/>
    <w:multiLevelType w:val="hybridMultilevel"/>
    <w:tmpl w:val="02F48706"/>
    <w:lvl w:ilvl="0" w:tplc="E6726B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8011E5C"/>
    <w:multiLevelType w:val="hybridMultilevel"/>
    <w:tmpl w:val="867A8DE2"/>
    <w:lvl w:ilvl="0" w:tplc="F210FCC4">
      <w:start w:val="3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A6"/>
    <w:rsid w:val="00002787"/>
    <w:rsid w:val="00043472"/>
    <w:rsid w:val="000E7E79"/>
    <w:rsid w:val="001D4FAA"/>
    <w:rsid w:val="00236878"/>
    <w:rsid w:val="002E0892"/>
    <w:rsid w:val="00315DA0"/>
    <w:rsid w:val="00347FFE"/>
    <w:rsid w:val="004300B8"/>
    <w:rsid w:val="00465305"/>
    <w:rsid w:val="004E0524"/>
    <w:rsid w:val="004F39A6"/>
    <w:rsid w:val="0050697C"/>
    <w:rsid w:val="00581198"/>
    <w:rsid w:val="005869B4"/>
    <w:rsid w:val="00735395"/>
    <w:rsid w:val="007A0274"/>
    <w:rsid w:val="007A1A40"/>
    <w:rsid w:val="007F1889"/>
    <w:rsid w:val="00873E6A"/>
    <w:rsid w:val="008C2DA2"/>
    <w:rsid w:val="00974F70"/>
    <w:rsid w:val="00A46E91"/>
    <w:rsid w:val="00A61841"/>
    <w:rsid w:val="00AB6180"/>
    <w:rsid w:val="00B20D48"/>
    <w:rsid w:val="00B73CC4"/>
    <w:rsid w:val="00BD3A8C"/>
    <w:rsid w:val="00C71A87"/>
    <w:rsid w:val="00C81E46"/>
    <w:rsid w:val="00D8016C"/>
    <w:rsid w:val="00D93DEE"/>
    <w:rsid w:val="00E21C78"/>
    <w:rsid w:val="00E86672"/>
    <w:rsid w:val="00E9603D"/>
    <w:rsid w:val="00EE1487"/>
    <w:rsid w:val="00EF14F7"/>
    <w:rsid w:val="00F3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81198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58119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E0524"/>
    <w:pPr>
      <w:ind w:left="720"/>
      <w:contextualSpacing/>
    </w:pPr>
  </w:style>
  <w:style w:type="character" w:styleId="Refdenotaderodap">
    <w:name w:val="footnote reference"/>
    <w:basedOn w:val="Fontepargpadro"/>
    <w:semiHidden/>
    <w:rsid w:val="00A46E91"/>
    <w:rPr>
      <w:vertAlign w:val="superscript"/>
    </w:rPr>
  </w:style>
  <w:style w:type="character" w:styleId="Forte">
    <w:name w:val="Strong"/>
    <w:basedOn w:val="Fontepargpadro"/>
    <w:qFormat/>
    <w:rsid w:val="007A1A40"/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7A1A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A1A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81198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58119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E0524"/>
    <w:pPr>
      <w:ind w:left="720"/>
      <w:contextualSpacing/>
    </w:pPr>
  </w:style>
  <w:style w:type="character" w:styleId="Refdenotaderodap">
    <w:name w:val="footnote reference"/>
    <w:basedOn w:val="Fontepargpadro"/>
    <w:semiHidden/>
    <w:rsid w:val="00A46E91"/>
    <w:rPr>
      <w:vertAlign w:val="superscript"/>
    </w:rPr>
  </w:style>
  <w:style w:type="character" w:styleId="Forte">
    <w:name w:val="Strong"/>
    <w:basedOn w:val="Fontepargpadro"/>
    <w:qFormat/>
    <w:rsid w:val="007A1A40"/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7A1A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A1A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1435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Trennepohl</dc:creator>
  <cp:lastModifiedBy>Gilvan Albuquerque</cp:lastModifiedBy>
  <cp:revision>2</cp:revision>
  <dcterms:created xsi:type="dcterms:W3CDTF">2019-06-04T14:45:00Z</dcterms:created>
  <dcterms:modified xsi:type="dcterms:W3CDTF">2019-06-04T14:45:00Z</dcterms:modified>
</cp:coreProperties>
</file>