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DD28A9" w:rsidRPr="00DD28A9" w:rsidTr="00DD28A9">
        <w:trPr>
          <w:trHeight w:val="1275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DD28A9" w:rsidRPr="00DD28A9" w:rsidRDefault="00DD28A9" w:rsidP="00DD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1675" cy="786765"/>
                  <wp:effectExtent l="19050" t="0" r="3175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DD28A9" w:rsidRPr="00DD28A9" w:rsidRDefault="00DD28A9" w:rsidP="00DD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8A9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DD28A9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DD28A9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DD28A9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DD28A9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DD28A9" w:rsidRPr="00DD28A9" w:rsidRDefault="00DD28A9" w:rsidP="00DD2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DD28A9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LEI N</w:t>
        </w:r>
        <w:r w:rsidRPr="00DD28A9">
          <w:rPr>
            <w:rFonts w:ascii="Arial" w:eastAsia="Times New Roman" w:hAnsi="Arial" w:cs="Arial"/>
            <w:b/>
            <w:bCs/>
            <w:color w:val="000080"/>
            <w:sz w:val="20"/>
            <w:u w:val="single"/>
            <w:vertAlign w:val="superscript"/>
            <w:lang w:eastAsia="pt-BR"/>
          </w:rPr>
          <w:t>o</w:t>
        </w:r>
        <w:r w:rsidRPr="00DD28A9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 6.567, DE 24 DE SETEMBRO DE </w:t>
        </w:r>
        <w:proofErr w:type="gramStart"/>
        <w:r w:rsidRPr="00DD28A9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1978.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12"/>
        <w:gridCol w:w="4592"/>
      </w:tblGrid>
      <w:tr w:rsidR="00DD28A9" w:rsidRPr="00DD28A9" w:rsidTr="00DD28A9">
        <w:trPr>
          <w:tblCellSpacing w:w="0" w:type="dxa"/>
        </w:trPr>
        <w:tc>
          <w:tcPr>
            <w:tcW w:w="2300" w:type="pct"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DD28A9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Mensagem de veto</w:t>
              </w:r>
            </w:hyperlink>
          </w:p>
        </w:tc>
        <w:tc>
          <w:tcPr>
            <w:tcW w:w="2700" w:type="pct"/>
            <w:vAlign w:val="center"/>
            <w:hideMark/>
          </w:tcPr>
          <w:p w:rsidR="00DD28A9" w:rsidRPr="00DD28A9" w:rsidRDefault="00DD28A9" w:rsidP="00DD28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8A9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Dispõe sobre regime especial para exploração e o aproveitamento das substâncias minerais que especifica e dá outras providências. </w:t>
            </w:r>
          </w:p>
        </w:tc>
      </w:tr>
    </w:tbl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b/>
          <w:bCs/>
          <w:sz w:val="20"/>
          <w:lang w:eastAsia="pt-BR"/>
        </w:rPr>
        <w:t xml:space="preserve">O PRESIDENTE DA </w:t>
      </w:r>
      <w:proofErr w:type="gramStart"/>
      <w:r w:rsidRPr="00DD28A9">
        <w:rPr>
          <w:rFonts w:ascii="Arial" w:eastAsia="Times New Roman" w:hAnsi="Arial" w:cs="Arial"/>
          <w:b/>
          <w:bCs/>
          <w:sz w:val="20"/>
          <w:lang w:eastAsia="pt-BR"/>
        </w:rPr>
        <w:t>REPÚBLICA</w:t>
      </w: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,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faço saber que o CONGRESSO NACIONAL decreta e eu sanciono a seguinte Lei: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Art. 1º Poderão ser aproveitados pelo regime de licenciamento, ou de autorização e concessão, na forma da lei: </w:t>
      </w:r>
      <w:hyperlink r:id="rId7" w:anchor="art1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8.982, de 1995)</w:t>
        </w:r>
      </w:hyperlink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I - areias, cascalhos e saibros para utilização imediata na construção civil, no preparo de agregados e argamassas, desde que não sejam submetidos a processo industrial de beneficiamento, nem se destinem como matéria-prima à indústria de transformação; </w:t>
      </w:r>
      <w:hyperlink r:id="rId8" w:anchor="art1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8.982, de 1995)</w:t>
        </w:r>
      </w:hyperlink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II - rochas e outras substâncias minerais, quando aparelhadas para paralelepípedos, guias, sarjetas, moirões e afins; </w:t>
      </w:r>
      <w:hyperlink r:id="rId9" w:anchor="art1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8.982, de 1995)</w:t>
        </w:r>
      </w:hyperlink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III - argilas usadas no fabrico de cerâmica vermelha; </w:t>
      </w:r>
      <w:hyperlink r:id="rId10" w:anchor="art1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8.982, de 1995)</w:t>
        </w:r>
      </w:hyperlink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IV - rochas, quando britadas para uso imediato na construção civil e os calcários empregados como corretivo de solo na agricultura. </w:t>
      </w:r>
      <w:hyperlink r:id="rId11" w:anchor="art1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8.982, de 1995)</w:t>
        </w:r>
      </w:hyperlink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O aproveitamento das substâncias minerais referidas neste artigo fica adstrito à área máxima de cinqüenta hectares. </w:t>
      </w:r>
      <w:hyperlink r:id="rId12" w:anchor="art1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8.982, de 1995)</w:t>
        </w:r>
      </w:hyperlink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2º - O aproveitamento mineral por licenciamento é facultado exclusivamente ao proprietário do solo ou a quem dele </w:t>
      </w:r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tiver expressa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autorização, salvo se a jazida situar-se em imóveis pertencentes a pessoa jurídica de direito público, bem como na hipótese prevista no § 1º do art. 10.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3º - O licenciamento depende da obtenção, pelo interessado, de licença específica, expedida pela autoridade administrativa local, no município de situação da jazida, e da efetivação do competente registro no Departamento Nacional da Produção Mineral (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D.N.P.M.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>), do Ministério das Minas e Energia, mediante requerimento cujo processamento será disciplinado em portaria do Diretor-Geral desse órgão, a ser expedida no prazo de 60 (sessenta) dias da publicação desta Lei.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 - Tratando-se de aproveitamento de jazida situada em imóvel pertencente </w:t>
      </w:r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pessoa jurídica de direito público, o licenciamento ficará sujeito ao prévio assentimento desta e, se for o caso, à audiência da autoridade federal sob cuja jurisdição se achar o imóvel, na forma da legislação específica.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4º - O requerimento de registro de licença sujeita o interessado ao pagamento de emolumentos em quantia correspondente a 12 (doze) vezes o valor atualizado da Obrigação Reajustável do Tesouro Nacional (ORTN), a qual deverá ser antecipadamente recolhida ao Banco do Brasil S.A., à conta do Fundo Nacional de Mineração-Parte Disponível, Instituído pela </w:t>
      </w:r>
      <w:hyperlink r:id="rId13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Lei nº 4.425, de 08 de outubro de </w:t>
        </w:r>
        <w:proofErr w:type="gramStart"/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1964.</w:t>
        </w:r>
        <w:proofErr w:type="gramEnd"/>
      </w:hyperlink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5º - Da instrução do requerimento de registro da licença deverá constar, dentre outros elementos, a comprovação da nacionalidade brasileira do interessado, pessoa natural, ou registro da sociedade no órgão de registro de comércio de sua sede, se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se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tratar de pessoa jurídica, bem assim da inscrição do requerente no órgão próprio do Ministério da Fazenda, como contribuinte do imposto único sobre minerais, e memorial descritivo da área objetivada na licença.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 - O licenciamento fica adstrito à área máxima de 50 (cinqüenta) hectares.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6º - Será autorizado pelo Diretor-Geral do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D.N.P.M.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e efetuado em livro próprio o registro da licença, do qual se formalizará extrato a ser publicado no Diário Oficial da União, valendo como título do licenciamento.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>Parágrafo único - Incumbe à autoridade municipal exercer vigilância para assegurar que o aproveitamento da substância mineral só se efetive depois de apresentado ao órgão local competente o título de licenciamento de que trata este artigo.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79 - O licenciado é obrigado a comunicar, imediatamente, ao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D.N.P.M.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a ocorrência de qualquer substância mineral útil não compreendida no licenciamento.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§ 1º - Se julgada necessária a realização de trabalhos de pesquisa, em razão das novas substâncias ocorrentes na área, o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D.N.P.M.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expedirá ofício ao titular, concedendo-lhe o prazo de 60 (sessenta) dias, contado da publicação da respectiva intimação no Diário Oficial da União, para requerer a competente autorização, na forma do </w:t>
      </w:r>
      <w:hyperlink r:id="rId14" w:anchor="art16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art. 16 do Código de Mineração. </w:t>
        </w:r>
      </w:hyperlink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§ 2º - O plano de pesquisa pertinente deverá abranger as novas substâncias minerais ocorrentes, bem como as constantes do título de licenciamento, com a finalidade de determinar-se o potencial econômico da área.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§ 3º - Decorrido o prazo fixado no § 1º, sem que haja o licenciado formulado requerimento de autorização de pesquisa, será determinado a cancelamento do registro da licença, por ato do Diretor-Geral do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D.N.P.M.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>, publicado no Diário Oficial da União.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§ 4º - O aproveitamento de substância mineral, de que trata o art. 1º, não constante do título de licenciamento, dependerá da obtenção, pelo interessado, de nova licença e da efetivação de sua averbação à margem do competente registro no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D.N.P.M.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8º - A critério do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D.N.P.M.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, poderá ser exigida a apresentação de plano de aproveitamento econômico da jazida, observado o disposto no </w:t>
      </w:r>
      <w:hyperlink r:id="rId15" w:anchor="art39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art. 39 do Código de Mineração</w:t>
        </w:r>
      </w:hyperlink>
      <w:r w:rsidRPr="00DD28A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 - Na hipótese prevista neste artigo, aplicar-se-á ao titular do licenciamento o disposto no </w:t>
      </w:r>
      <w:hyperlink r:id="rId16" w:anchor="art47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art. 47 do Código de </w:t>
        </w:r>
        <w:proofErr w:type="gramStart"/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Mineração.</w:t>
        </w:r>
        <w:proofErr w:type="gramEnd"/>
      </w:hyperlink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9º - O titular do licenciamento é obrigado a apresentar ao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D.N.P.M.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>, até 31 de março de cada ano, relatório simplificado das atividades desenvolvidas no ano anterior, consoante for estabelecido em portaria do Diretor-Geral desse órgão.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10 - Será ainda determinado o cancelamento do registro de licença, por ato do Diretor-Geral do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D.N.P.M.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>, publicado no Diário Oficial da União, nos casos de: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I - insuficiente produção da jazida, considerada em relação às necessidades do mercado consumidor;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II - suspensão, sem motivo justificado, dos trabalhos de extração, por prazo superior a </w:t>
      </w:r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6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(seis) meses;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III - aproveitamento de substâncias minerais não abrangidas pelo licenciamento, após advertência.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§ 1º - Publicado o ato determinativo do cancelamento do registro de licença, a habilitação ao aproveitamento da jazida, sob o regime de licenciamento, estará </w:t>
      </w:r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facultada a qualquer interessado, independentemente de autorização do proprietário do solo, observados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os demais requisitos previstos nesta Lei.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>§ 2º É vedado ao proprietário do solo, titular do licenciamento cujo registro haja sido cancelado, habilitar-se ao aproveitamento da jazida na forma do parágrafo anterior.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11 - O titular do licenciamento obtido nas circunstâncias de que trata o § 1º do artigo anterior é obrigado a pagar ao proprietário do solo renda pela ocupação do terreno e indenização pelos danos ocasionados ao imóvel, em decorrência do aproveitamento da jazida, observado, no que couber, o disposto no </w:t>
      </w:r>
      <w:hyperlink r:id="rId17" w:anchor="art27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art. 27 do Código de Mineração. </w:t>
        </w:r>
      </w:hyperlink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12 - </w:t>
      </w:r>
      <w:hyperlink r:id="rId18" w:anchor="art3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(Revogado pela Lei nº 8.982, de 1995)</w:t>
        </w:r>
      </w:hyperlink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13 - Os requerimentos de autorização de pesquisa de substâncias minerais integrantes da Classe II e de argilas empregadas no fabrico de cerâmica vermelha, pendentes de decisão, </w:t>
      </w:r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serão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arquivados por despacho do Diretor-Geral do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D.N.P.M.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, assegurada aos respectivos interessados a restituição dos emolumentos que hajam sido pagos.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14 - Nos processos referentes a requerimentos de registro de licença, pendentes de decisão, os interessados deverão recolher, no prazo de 60 (sessenta) dias a partir da entrada em vigor desta Lei, os emolumentos pertinentes, nos termos do art. 4º, e apresentar ao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D.N.P.M.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>, dentro do mesmo prazo, o respectivo comprovante, sob pena do indeferimento do pedido.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15 - O item II do art. 22 </w:t>
      </w:r>
      <w:hyperlink r:id="rId19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(VETADO)</w:t>
        </w:r>
      </w:hyperlink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do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Decreto-lei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nº 227, de 28 de fevereiro de 1967, alterado pelo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Decreto-lei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nº 318, de 14 de março de 1967 e pela lei nº 6.403, de 15 de dezembro de 1976, passam a vigorar com a seguinte redação:</w:t>
      </w:r>
    </w:p>
    <w:p w:rsidR="00DD28A9" w:rsidRPr="00DD28A9" w:rsidRDefault="00DD28A9" w:rsidP="00DD28A9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"Art. 22 </w:t>
      </w:r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0" w:anchor="art22ii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Item II</w:t>
        </w:r>
      </w:hyperlink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- A autorização valerá por </w:t>
      </w:r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(três) anos podendo ser renovada por mais tempo, a critério do </w:t>
      </w:r>
      <w:proofErr w:type="spell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D.N.P.M.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e considerando a região da pesquisa e tipo do minério pesquisado, mediante requerimento do interessado, protocolizado até 60 (sessenta) dias antes de expirar-se o prazo de autorização, observadas as seguintes condições: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>a) do requerimento de renovação deverá constar relatório dos trabalhos realizados, com os resultados obtidos, assim como, justificativa do prosseguimento da pesquisa;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b) o titular pagará emolumentos de outorga do novo alvará.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Art. 26 - </w:t>
      </w:r>
      <w:hyperlink r:id="rId21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(VETADO)</w:t>
        </w:r>
        <w:proofErr w:type="gramStart"/>
      </w:hyperlink>
      <w:r w:rsidRPr="00DD28A9">
        <w:rPr>
          <w:rFonts w:ascii="Arial" w:eastAsia="Times New Roman" w:hAnsi="Arial" w:cs="Arial"/>
          <w:sz w:val="20"/>
          <w:szCs w:val="20"/>
          <w:lang w:eastAsia="pt-BR"/>
        </w:rPr>
        <w:t>."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16 - Esta Lei entra em vigor na data de sua publicação.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D28A9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 17 - Revogam-se as disposições em contrário, especialmente o </w:t>
      </w:r>
      <w:hyperlink r:id="rId22" w:anchor="art8" w:history="1"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art. 8º do </w:t>
        </w:r>
        <w:proofErr w:type="spellStart"/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Decreto-lei</w:t>
        </w:r>
        <w:proofErr w:type="spellEnd"/>
        <w:r w:rsidRPr="00DD28A9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nº 227, de 28 de fevereiro de 1967</w:t>
        </w:r>
      </w:hyperlink>
      <w:r w:rsidRPr="00DD28A9">
        <w:rPr>
          <w:rFonts w:ascii="Arial" w:eastAsia="Times New Roman" w:hAnsi="Arial" w:cs="Arial"/>
          <w:sz w:val="20"/>
          <w:szCs w:val="20"/>
          <w:lang w:eastAsia="pt-BR"/>
        </w:rPr>
        <w:t>, alterado pela Lei nº 6.403, de 15 de dezembro de 1976.</w:t>
      </w:r>
    </w:p>
    <w:p w:rsidR="00DD28A9" w:rsidRPr="00DD28A9" w:rsidRDefault="00DD28A9" w:rsidP="00DD28A9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Brasília, em 24 de setembro de 1978; 157º da Independência e 90º da República.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sz w:val="20"/>
          <w:szCs w:val="20"/>
          <w:lang w:eastAsia="pt-BR"/>
        </w:rPr>
        <w:t xml:space="preserve">ERNESTO GEISEL </w:t>
      </w:r>
      <w:r w:rsidRPr="00DD28A9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Pr="00DD28A9">
        <w:rPr>
          <w:rFonts w:ascii="Arial" w:eastAsia="Times New Roman" w:hAnsi="Arial" w:cs="Arial"/>
          <w:i/>
          <w:iCs/>
          <w:sz w:val="20"/>
          <w:lang w:eastAsia="pt-BR"/>
        </w:rPr>
        <w:t>Shigeaki</w:t>
      </w:r>
      <w:proofErr w:type="spellEnd"/>
      <w:r w:rsidRPr="00DD28A9">
        <w:rPr>
          <w:rFonts w:ascii="Arial" w:eastAsia="Times New Roman" w:hAnsi="Arial" w:cs="Arial"/>
          <w:i/>
          <w:iCs/>
          <w:sz w:val="20"/>
          <w:lang w:eastAsia="pt-BR"/>
        </w:rPr>
        <w:t xml:space="preserve"> </w:t>
      </w:r>
      <w:proofErr w:type="spellStart"/>
      <w:r w:rsidRPr="00DD28A9">
        <w:rPr>
          <w:rFonts w:ascii="Arial" w:eastAsia="Times New Roman" w:hAnsi="Arial" w:cs="Arial"/>
          <w:i/>
          <w:iCs/>
          <w:sz w:val="20"/>
          <w:lang w:eastAsia="pt-BR"/>
        </w:rPr>
        <w:t>Ueki</w:t>
      </w:r>
      <w:proofErr w:type="spellEnd"/>
      <w:r w:rsidRPr="00DD28A9">
        <w:rPr>
          <w:rFonts w:ascii="Arial" w:eastAsia="Times New Roman" w:hAnsi="Arial" w:cs="Arial"/>
          <w:i/>
          <w:iCs/>
          <w:sz w:val="20"/>
          <w:lang w:eastAsia="pt-BR"/>
        </w:rPr>
        <w:t xml:space="preserve"> 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Arial" w:eastAsia="Times New Roman" w:hAnsi="Arial" w:cs="Arial"/>
          <w:color w:val="FF0000"/>
          <w:sz w:val="20"/>
          <w:szCs w:val="20"/>
          <w:lang w:eastAsia="pt-BR"/>
        </w:rPr>
        <w:lastRenderedPageBreak/>
        <w:t xml:space="preserve">Este texto não substitui o publicado no </w:t>
      </w:r>
      <w:proofErr w:type="spellStart"/>
      <w:r w:rsidRPr="00DD28A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D.O.U.</w:t>
      </w:r>
      <w:proofErr w:type="spellEnd"/>
      <w:r w:rsidRPr="00DD28A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proofErr w:type="gramStart"/>
      <w:r w:rsidRPr="00DD28A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DD28A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26.9.1978.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28A9" w:rsidRPr="00DD28A9" w:rsidRDefault="00DD28A9" w:rsidP="00DD28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8A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Default="00B135A2"/>
    <w:sectPr w:rsidR="00CF0EF5" w:rsidSect="00031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D28A9"/>
    <w:rsid w:val="00031BBF"/>
    <w:rsid w:val="00486F36"/>
    <w:rsid w:val="00705708"/>
    <w:rsid w:val="00DD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28A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D28A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D28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4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982.htm" TargetMode="External"/><Relationship Id="rId13" Type="http://schemas.openxmlformats.org/officeDocument/2006/relationships/hyperlink" Target="http://legislacao.planalto.gov.br/legisla/legislacao.nsf/Viw_Identificacao/lei%204.425-1964?OpenDocument" TargetMode="External"/><Relationship Id="rId18" Type="http://schemas.openxmlformats.org/officeDocument/2006/relationships/hyperlink" Target="http://www.planalto.gov.br/ccivil_03/leis/L8982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lanalto.gov.br/ccivil_03/leis/Mensagem_Veto/anterior_98/vep330-78.htm" TargetMode="External"/><Relationship Id="rId7" Type="http://schemas.openxmlformats.org/officeDocument/2006/relationships/hyperlink" Target="http://www.planalto.gov.br/ccivil_03/leis/L8982.htm" TargetMode="External"/><Relationship Id="rId12" Type="http://schemas.openxmlformats.org/officeDocument/2006/relationships/hyperlink" Target="http://www.planalto.gov.br/ccivil_03/leis/L8982.htm" TargetMode="External"/><Relationship Id="rId17" Type="http://schemas.openxmlformats.org/officeDocument/2006/relationships/hyperlink" Target="http://www.planalto.gov.br/ccivil_03/Decreto-Lei/Del0227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Decreto-Lei/Del0227.htm" TargetMode="External"/><Relationship Id="rId20" Type="http://schemas.openxmlformats.org/officeDocument/2006/relationships/hyperlink" Target="http://www.planalto.gov.br/ccivil_03/Decreto-Lei/Del0227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Mensagem_Veto/anterior_98/vep330-78.htm" TargetMode="External"/><Relationship Id="rId11" Type="http://schemas.openxmlformats.org/officeDocument/2006/relationships/hyperlink" Target="http://www.planalto.gov.br/ccivil_03/leis/L8982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legislacao.planalto.gov.br/legisla/legislacao.nsf/Viw_Identificacao/lei%206.567-1978?OpenDocument" TargetMode="External"/><Relationship Id="rId15" Type="http://schemas.openxmlformats.org/officeDocument/2006/relationships/hyperlink" Target="http://www.planalto.gov.br/ccivil_03/Decreto-Lei/Del0227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lanalto.gov.br/ccivil_03/leis/L8982.htm" TargetMode="External"/><Relationship Id="rId19" Type="http://schemas.openxmlformats.org/officeDocument/2006/relationships/hyperlink" Target="http://www.planalto.gov.br/ccivil_03/leis/Mensagem_Veto/anterior_98/vep330-78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leis/L8982.htm" TargetMode="External"/><Relationship Id="rId14" Type="http://schemas.openxmlformats.org/officeDocument/2006/relationships/hyperlink" Target="http://www.planalto.gov.br/ccivil_03/Decreto-Lei/Del0227.htm" TargetMode="External"/><Relationship Id="rId22" Type="http://schemas.openxmlformats.org/officeDocument/2006/relationships/hyperlink" Target="http://www.planalto.gov.br/ccivil_03/Decreto-Lei/Del0227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1665</Words>
  <Characters>8991</Characters>
  <Application>Microsoft Office Word</Application>
  <DocSecurity>0</DocSecurity>
  <Lines>74</Lines>
  <Paragraphs>21</Paragraphs>
  <ScaleCrop>false</ScaleCrop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2017-04-04T14:21:00Z</dcterms:created>
  <dcterms:modified xsi:type="dcterms:W3CDTF">2017-04-04T14:23:00Z</dcterms:modified>
</cp:coreProperties>
</file>