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"/>
        <w:gridCol w:w="4813"/>
      </w:tblGrid>
      <w:tr w:rsidR="00E22FD3" w:rsidRPr="00E22FD3" w:rsidTr="00E22FD3">
        <w:trPr>
          <w:trHeight w:val="1275"/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E22FD3" w:rsidRPr="00E22FD3" w:rsidRDefault="00E22FD3" w:rsidP="00E2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01675" cy="786765"/>
                  <wp:effectExtent l="19050" t="0" r="3175" b="0"/>
                  <wp:docPr id="1" name="Imagem 1" descr="Brastra.gif (437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tra.gif (437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E22FD3" w:rsidRPr="00E22FD3" w:rsidRDefault="00E22FD3" w:rsidP="00E22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2FD3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E22FD3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E22FD3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E22FD3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E22FD3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E22FD3" w:rsidRPr="00E22FD3" w:rsidRDefault="00E22FD3" w:rsidP="00E22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E22FD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LEI N</w:t>
        </w:r>
        <w:r w:rsidRPr="00E22FD3">
          <w:rPr>
            <w:rFonts w:ascii="Arial" w:eastAsia="Times New Roman" w:hAnsi="Arial" w:cs="Arial"/>
            <w:b/>
            <w:bCs/>
            <w:color w:val="000080"/>
            <w:sz w:val="20"/>
            <w:u w:val="single"/>
            <w:vertAlign w:val="superscript"/>
            <w:lang w:eastAsia="pt-BR"/>
          </w:rPr>
          <w:t>o</w:t>
        </w:r>
        <w:r w:rsidRPr="00E22FD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 3.924, DE 26 DE JULHO DE </w:t>
        </w:r>
        <w:proofErr w:type="gramStart"/>
        <w:r w:rsidRPr="00E22FD3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1961.</w:t>
        </w:r>
        <w:proofErr w:type="gramEnd"/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2"/>
        <w:gridCol w:w="4212"/>
      </w:tblGrid>
      <w:tr w:rsidR="00E22FD3" w:rsidRPr="00E22FD3" w:rsidTr="00E22FD3">
        <w:trPr>
          <w:tblCellSpacing w:w="15" w:type="dxa"/>
        </w:trPr>
        <w:tc>
          <w:tcPr>
            <w:tcW w:w="2550" w:type="pct"/>
            <w:vAlign w:val="center"/>
            <w:hideMark/>
          </w:tcPr>
          <w:p w:rsidR="00E22FD3" w:rsidRPr="00E22FD3" w:rsidRDefault="00E22FD3" w:rsidP="00E2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50" w:type="pct"/>
            <w:vAlign w:val="center"/>
            <w:hideMark/>
          </w:tcPr>
          <w:p w:rsidR="00E22FD3" w:rsidRPr="00E22FD3" w:rsidRDefault="00E22FD3" w:rsidP="00E2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22FD3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Dispõe</w:t>
            </w:r>
            <w:proofErr w:type="gramEnd"/>
            <w:r w:rsidRPr="00E22FD3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22FD3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sôbre</w:t>
            </w:r>
            <w:proofErr w:type="spellEnd"/>
            <w:r w:rsidRPr="00E22FD3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 os monumentos arqueológicos e pré-históricos. </w:t>
            </w:r>
          </w:p>
        </w:tc>
      </w:tr>
    </w:tbl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        O PRESIDENTE DA </w:t>
      </w:r>
      <w:proofErr w:type="gramStart"/>
      <w:r w:rsidRPr="00E22FD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REPÚBLICA </w:t>
      </w: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proofErr w:type="gram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faço saber que o CONGRESSO NACIONAL decreta e eu sanciono a seguinte Lei: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 </w:t>
      </w:r>
      <w:r w:rsidRPr="00E22FD3">
        <w:rPr>
          <w:rFonts w:ascii="Arial" w:eastAsia="Times New Roman" w:hAnsi="Arial" w:cs="Arial"/>
          <w:sz w:val="24"/>
          <w:szCs w:val="24"/>
          <w:lang w:eastAsia="pt-BR"/>
        </w:rPr>
        <w:t xml:space="preserve">   </w:t>
      </w:r>
      <w:bookmarkStart w:id="0" w:name="art1"/>
      <w:bookmarkEnd w:id="0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1º Os monumentos arqueológicos ou pré-históricos de qualquer natureza existentes no território nacional e todos os elementos que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nêles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 encontram ficam sob a guarda e proteção do Poder Público, de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acôrdo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 o que estabelece o</w:t>
      </w:r>
      <w:hyperlink r:id="rId6" w:anchor="art175" w:history="1">
        <w:r w:rsidRPr="00E22FD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art. 175 da Constituição Federal</w:t>
        </w:r>
      </w:hyperlink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 </w:t>
      </w:r>
      <w:r w:rsidRPr="00E22FD3">
        <w:rPr>
          <w:rFonts w:ascii="Arial" w:eastAsia="Times New Roman" w:hAnsi="Arial" w:cs="Arial"/>
          <w:sz w:val="24"/>
          <w:szCs w:val="24"/>
          <w:lang w:eastAsia="pt-BR"/>
        </w:rPr>
        <w:t xml:space="preserve">   </w:t>
      </w: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Parágrafo único. A propriedade da superfície, regida pelo direito comum, não inclui a das jazidas arqueológicas ou pré-históricas, nem a dos objetos nelas incorporados na forma do </w:t>
      </w:r>
      <w:hyperlink r:id="rId7" w:anchor="art152" w:history="1">
        <w:r w:rsidRPr="00E22FD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art. 152 da mesma Constituição</w:t>
        </w:r>
      </w:hyperlink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 </w:t>
      </w:r>
      <w:r w:rsidRPr="00E22FD3">
        <w:rPr>
          <w:rFonts w:ascii="Arial" w:eastAsia="Times New Roman" w:hAnsi="Arial" w:cs="Arial"/>
          <w:sz w:val="24"/>
          <w:szCs w:val="24"/>
          <w:lang w:eastAsia="pt-BR"/>
        </w:rPr>
        <w:t xml:space="preserve">   </w:t>
      </w:r>
      <w:bookmarkStart w:id="1" w:name="art2"/>
      <w:bookmarkEnd w:id="1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2º Consideram-se monumentos arqueológicos ou pré-históricos: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 </w:t>
      </w:r>
      <w:r w:rsidRPr="00E22FD3">
        <w:rPr>
          <w:rFonts w:ascii="Arial" w:eastAsia="Times New Roman" w:hAnsi="Arial" w:cs="Arial"/>
          <w:sz w:val="24"/>
          <w:szCs w:val="24"/>
          <w:lang w:eastAsia="pt-BR"/>
        </w:rPr>
        <w:t xml:space="preserve">   </w:t>
      </w: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a) as jazidas de qualquer natureza, origem ou finalidade, que representem testemunhos de cultura dos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paleoameríndios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Brasil, tais como sambaquis, montes artificiais ou tesos, poços sepulcrais, jazigos, aterrados, estearias e quaisquer outras não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espeficadas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aqui, mas de significado idêntico a juízo da autoridade competente.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 </w:t>
      </w:r>
      <w:r w:rsidRPr="00E22FD3">
        <w:rPr>
          <w:rFonts w:ascii="Arial" w:eastAsia="Times New Roman" w:hAnsi="Arial" w:cs="Arial"/>
          <w:sz w:val="24"/>
          <w:szCs w:val="24"/>
          <w:lang w:eastAsia="pt-BR"/>
        </w:rPr>
        <w:t xml:space="preserve">    </w:t>
      </w: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b) os sítios nos quais se encontram vestígios positivos de ocupação pelos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paleoameríndios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tais como grutas, lapas e abrigos sob rocha;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c) os sítios identificados como cemitérios, sepulturas ou locais de pouso prolongado ou de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aldeiamento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"estações" e "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cerâmios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", nos quais se encontram vestígios humanos de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interêsse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arqueológico ou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paleoetnográfico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;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 </w:t>
      </w:r>
      <w:r w:rsidRPr="00E22FD3">
        <w:rPr>
          <w:rFonts w:ascii="Arial" w:eastAsia="Times New Roman" w:hAnsi="Arial" w:cs="Arial"/>
          <w:sz w:val="24"/>
          <w:szCs w:val="24"/>
          <w:lang w:eastAsia="pt-BR"/>
        </w:rPr>
        <w:t xml:space="preserve">   </w:t>
      </w: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 d) as inscrições rupestres ou locais como sulcos de polimentos de utensílios e outros vestígios de atividade de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paleoameríndios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bookmarkStart w:id="2" w:name="art3"/>
      <w:bookmarkEnd w:id="2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3º São proibidos em todo o território nacional, o aproveitamento econômico, a destruição ou mutilação, para qualquer fim, das jazidas arqueológicas ou pré-históricas conhecidas como sambaquis, casqueiros,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concheiros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birbigueiras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ou sernambis, e bem assim dos sítios, inscrições e objetos enumerados nas alíneas </w:t>
      </w:r>
      <w:r w:rsidRPr="00E22FD3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b, c </w:t>
      </w: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 </w:t>
      </w:r>
      <w:r w:rsidRPr="00E22FD3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</w:t>
      </w:r>
      <w:r w:rsidRPr="00E22FD3">
        <w:rPr>
          <w:rFonts w:ascii="Arial" w:eastAsia="Times New Roman" w:hAnsi="Arial" w:cs="Arial"/>
          <w:sz w:val="15"/>
          <w:szCs w:val="15"/>
          <w:lang w:eastAsia="pt-BR"/>
        </w:rPr>
        <w:t xml:space="preserve"> </w:t>
      </w: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do artigo anterior, antes de serem </w:t>
      </w:r>
      <w:proofErr w:type="gram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devidamente pesquisados, respeitadas</w:t>
      </w:r>
      <w:proofErr w:type="gram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 concessões anteriores e não caducas.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 </w:t>
      </w:r>
      <w:r w:rsidRPr="00E22FD3">
        <w:rPr>
          <w:rFonts w:ascii="Arial" w:eastAsia="Times New Roman" w:hAnsi="Arial" w:cs="Arial"/>
          <w:sz w:val="24"/>
          <w:szCs w:val="24"/>
          <w:lang w:eastAsia="pt-BR"/>
        </w:rPr>
        <w:t xml:space="preserve">   </w:t>
      </w:r>
      <w:bookmarkStart w:id="3" w:name="art4"/>
      <w:bookmarkEnd w:id="3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4º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Tôda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pessoa, natural ou jurídica que, na data da publicação desta lei, já estiver procedendo, para fins econômicos ou outros, à exploração de jazidas arqueológicas ou pré-históricas, deverá comunicar à Diretoria do Patrimônio Histórico Nacional, dentro de sessenta (60) dias, sob pena de multa de Cr$ 10.000,00 a Cr$ 50.000,00 (dez mil a cinqüenta mil cruzeiros), o exercício dessa atividade, para efeito de exame, registro, fiscalização e salvaguarda do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interêsse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ciência.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 </w:t>
      </w:r>
      <w:r w:rsidRPr="00E22FD3">
        <w:rPr>
          <w:rFonts w:ascii="Arial" w:eastAsia="Times New Roman" w:hAnsi="Arial" w:cs="Arial"/>
          <w:sz w:val="24"/>
          <w:szCs w:val="24"/>
          <w:lang w:eastAsia="pt-BR"/>
        </w:rPr>
        <w:t xml:space="preserve">   </w:t>
      </w:r>
      <w:bookmarkStart w:id="4" w:name="art5"/>
      <w:bookmarkEnd w:id="4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5º Qualquer ato que importe na destruição ou mutilação dos monumentos a que se refere o art. 2º desta lei, será considerado crime contra o Patrimônio Nacional e, como tal, punível de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acôrdo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 o disposto nas leis penais.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   </w:t>
      </w:r>
      <w:r w:rsidRPr="00E22FD3">
        <w:rPr>
          <w:rFonts w:ascii="Arial" w:eastAsia="Times New Roman" w:hAnsi="Arial" w:cs="Arial"/>
          <w:sz w:val="24"/>
          <w:szCs w:val="24"/>
          <w:lang w:eastAsia="pt-BR"/>
        </w:rPr>
        <w:t xml:space="preserve">   </w:t>
      </w:r>
      <w:bookmarkStart w:id="5" w:name="art6"/>
      <w:bookmarkEnd w:id="5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6º As jazidas conhecidas como sambaquis, manifestadas ao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govêrno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União, por intermédio da Diretoria do Patrimônio Histórico e Artístico Nacional, de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acôrdo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 o art. 4º e registradas na forma do artigo 27 desta lei, terão precedência para estudo e eventual aproveitamento, em conformidade com o Código de Minas.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 </w:t>
      </w:r>
      <w:r w:rsidRPr="00E22FD3">
        <w:rPr>
          <w:rFonts w:ascii="Arial" w:eastAsia="Times New Roman" w:hAnsi="Arial" w:cs="Arial"/>
          <w:sz w:val="24"/>
          <w:szCs w:val="24"/>
          <w:lang w:eastAsia="pt-BR"/>
        </w:rPr>
        <w:t xml:space="preserve">   </w:t>
      </w:r>
      <w:bookmarkStart w:id="6" w:name="art7"/>
      <w:bookmarkEnd w:id="6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7º As jazidas arqueológicas ou pré-históricas de qualquer natureza, não manifestadas e registradas na forma dos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arts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4º e 6º desta lei, são consideradas, para todos os efeitos bens patrimoniais da União.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CAPÍTULO II </w:t>
      </w:r>
      <w:r w:rsidRPr="00E22FD3">
        <w:rPr>
          <w:rFonts w:ascii="Arial" w:eastAsia="Times New Roman" w:hAnsi="Arial" w:cs="Arial"/>
          <w:sz w:val="15"/>
          <w:szCs w:val="15"/>
          <w:lang w:eastAsia="pt-BR"/>
        </w:rPr>
        <w:br/>
      </w:r>
      <w:r w:rsidRPr="00E22FD3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Das escavações arqueológicas realizadas por particulares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bookmarkStart w:id="7" w:name="art8"/>
      <w:bookmarkEnd w:id="7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8º O direito de realizar escavações para fins arqueológicos, em terras de domínio público ou particular, constitui-se mediante permissão do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Govêrno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União, através da Diretoria do Patrimônio Histórico e Artístico Nacional, ficando obrigado a respeitá-lo o proprietário ou possuidor do solo.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bookmarkStart w:id="8" w:name="art9"/>
      <w:bookmarkEnd w:id="8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9º O pedido de permissão deve ser dirigido à Diretoria do Patrimônio Histórico e Artístico Nacional, acompanhado de indicação exata do local, do vulto e da duração aproximada dos trabalhos a serem executados, da prova de idoneidade técnico-científica e financeira do requerente e do nome do responsável pela realização dos trabalhos.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Parágrafo único. Estando em condomínio a área em que se localiza a jazida,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sòmente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poderá requerer a permissão o administrador ou cabecel, eleito na forma do Código Civil.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bookmarkStart w:id="9" w:name="art10"/>
      <w:bookmarkEnd w:id="9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10. A permissão terá por título uma portaria do Ministro da Educação e Cultura, que será transcrita em livro próprio da Diretoria do Patrimônio Histórico e Artístico Nacional, e na qual ficarão estabelecidas as condições a serem observadas ao desenvolvimento das escavações e estudos.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bookmarkStart w:id="10" w:name="art11"/>
      <w:bookmarkEnd w:id="10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11. Desde que as escavações e estudos devam ser realizados em terreno que não pertença ao requerente, deverá ser </w:t>
      </w:r>
      <w:proofErr w:type="gram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anexado</w:t>
      </w:r>
      <w:proofErr w:type="gram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ao seu pedido o consentimento escrito do proprietário do terreno ou de quem esteja em uso e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gôzo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desse direito.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§ 1º As escavações devem ser necessàriamente executadas sob a orientação do permissionário, que </w:t>
      </w:r>
      <w:proofErr w:type="gram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responderá,</w:t>
      </w:r>
      <w:proofErr w:type="gram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civil, penal e administrativamente, pelos prejuízos que causar ao Patrimônio Nacional ou a terceiros.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§ 2º As escavações devem ser realizadas de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acôrdo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 as condições estipuladas no instrumento de permissão, não podendo o responsável, sob nenhum pretexto, impedir a inspeção dos trabalhos por delegado especialmente designado pela Diretoria do Patrimônio Histórico e Artístico Nacional, quando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fôr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julgado conveniente.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§ 3º O permissionário fica obrigado a informar à Diretoria do Patrimônio Histórico e Artístico Nacional, trimestralmente,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sôbre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 andamento das escavações, salvo a ocorrência de fato excepcional, cuja notificação deverá ser feita imediatamente, para as providências cabíveis.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bookmarkStart w:id="11" w:name="art12"/>
      <w:bookmarkEnd w:id="11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12. O Ministro da Educação e Cultura poderá cassar a permissão, concedida, uma vez que: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a) não sejam cumpridas as prescrições da presente lei e do instrumento de concessão da licença;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b) sejam suspensos os trabalhos de campo por prazo superior a doze (12) meses, salvo motivo de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fôrça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maior, devidamente comprovado;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        c) no caso de não cumprimento do § 3º do artigo anterior.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Parágrafo único. Em qualquer dos casos acima enumerados, o permissionário não terá direito à indenização alguma pelas despesas que tiver efetuado.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CAPÍTULO III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Das escavações arqueológicas realizadas por instituições, científicas especializadas da União dos Estados e dos Municípios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bookmarkStart w:id="12" w:name="art13"/>
      <w:bookmarkEnd w:id="12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13. A União, bem como os Estados e Municípios mediante autorização federal, poderão proceder a escavações e pesquisas, no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interêsse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arqueologia e da pré-história em terrenos de propriedade particular, com exceção das áreas muradas que envolvem construções domiciliares.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Parágrafo único. À falta de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acôrdo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amigável com o proprietário </w:t>
      </w:r>
      <w:proofErr w:type="gram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 área onde situar-se</w:t>
      </w:r>
      <w:proofErr w:type="gram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jazida, será esta declarada de utilidade pública e autorizada a sua ocupação pelo período necessário à execução dos estudos, nos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têrmos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</w:t>
      </w:r>
      <w:hyperlink r:id="rId8" w:anchor="art5l" w:history="1">
        <w:r w:rsidRPr="00E22FD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art. 36 do </w:t>
        </w:r>
        <w:proofErr w:type="spellStart"/>
        <w:r w:rsidRPr="00E22FD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Decreto-lei</w:t>
        </w:r>
        <w:proofErr w:type="spellEnd"/>
        <w:r w:rsidRPr="00E22FD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nº 3.365, de 21 de junho de 1941</w:t>
        </w:r>
      </w:hyperlink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bookmarkStart w:id="13" w:name="art14"/>
      <w:bookmarkEnd w:id="13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14. No caso de ocupação temporária do terreno, para realização de escavações nas jazidas declaradas de utilidade pública, deverá ser lavrado um auto, antes do início dos estudos, no qual se descreva o aspecto exato do local.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§ 1º Terminados os estudos, o local deverá ser restabelecido, sempre que possível, na sua feição primitiva.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§ 2º Em caso de escavações produzirem a destruição de um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relêvo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qualquer, essa obrigação só terá cabimento quando se comprovar que,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dêsse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aspecto particular do terreno, resultavam incontestáveis vantagens para o proprietário.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bookmarkStart w:id="14" w:name="art15"/>
      <w:bookmarkEnd w:id="14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15. Em casos especiais e em face do significado arqueológico excepcional das jazidas, poderá ser promovida a desapropriação do imóvel, ou parte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dêle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por utilidade pública, com fundamento no </w:t>
      </w:r>
      <w:hyperlink r:id="rId9" w:anchor="art5k" w:history="1">
        <w:r w:rsidRPr="00E22FD3">
          <w:rPr>
            <w:rFonts w:ascii="Arial" w:eastAsia="Times New Roman" w:hAnsi="Arial" w:cs="Arial"/>
            <w:i/>
            <w:iCs/>
            <w:color w:val="0000FF"/>
            <w:sz w:val="20"/>
            <w:u w:val="single"/>
            <w:lang w:eastAsia="pt-BR"/>
          </w:rPr>
          <w:t>art. 5º, alíneas K</w:t>
        </w:r>
      </w:hyperlink>
      <w:r w:rsidRPr="00E22FD3">
        <w:rPr>
          <w:rFonts w:ascii="Arial" w:eastAsia="Times New Roman" w:hAnsi="Arial" w:cs="Arial"/>
          <w:sz w:val="15"/>
          <w:szCs w:val="15"/>
          <w:lang w:eastAsia="pt-BR"/>
        </w:rPr>
        <w:t xml:space="preserve"> </w:t>
      </w: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 </w:t>
      </w:r>
      <w:hyperlink r:id="rId10" w:anchor="art5l" w:history="1">
        <w:r w:rsidRPr="00E22FD3">
          <w:rPr>
            <w:rFonts w:ascii="Arial" w:eastAsia="Times New Roman" w:hAnsi="Arial" w:cs="Arial"/>
            <w:i/>
            <w:iCs/>
            <w:color w:val="0000FF"/>
            <w:sz w:val="20"/>
            <w:u w:val="single"/>
            <w:lang w:eastAsia="pt-BR"/>
          </w:rPr>
          <w:t>L</w:t>
        </w:r>
      </w:hyperlink>
      <w:hyperlink r:id="rId11" w:anchor="art5l" w:history="1">
        <w:r w:rsidRPr="00E22FD3">
          <w:rPr>
            <w:rFonts w:ascii="Arial" w:eastAsia="Times New Roman" w:hAnsi="Arial" w:cs="Arial"/>
            <w:color w:val="0000FF"/>
            <w:sz w:val="15"/>
            <w:u w:val="single"/>
            <w:lang w:eastAsia="pt-BR"/>
          </w:rPr>
          <w:t xml:space="preserve"> </w:t>
        </w:r>
        <w:r w:rsidRPr="00E22FD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do </w:t>
        </w:r>
        <w:proofErr w:type="spellStart"/>
        <w:r w:rsidRPr="00E22FD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Decreto-lei</w:t>
        </w:r>
        <w:proofErr w:type="spellEnd"/>
        <w:r w:rsidRPr="00E22FD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nº 3.365, de 21 de junho de 1941</w:t>
        </w:r>
      </w:hyperlink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bookmarkStart w:id="15" w:name="art16"/>
      <w:bookmarkEnd w:id="15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16. Nenhum órgão da administração federal, dos Estados ou dos Municípios, mesmo no caso do art. 28 desta lei, poderá realizar escavações arqueológicas ou pré-históricas, sem prévia comunicação à Diretoria do Patrimônio Histórico e Artístico Nacional, para fins de registro no cadastro de jazidas arqueológicas.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Parágrafo único. Dessa comunicação deve constar, obrigatòriamente, o local, o tipo ou a designação da jazida, o nome do especialista encarregado das escavações, os indícios que determinaram a escolha do local e, posteriormente, uma súmula dos resultados obtidos e do destino do material coletado.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CAPÍTULO IV </w:t>
      </w:r>
      <w:r w:rsidRPr="00E22FD3">
        <w:rPr>
          <w:rFonts w:ascii="Arial" w:eastAsia="Times New Roman" w:hAnsi="Arial" w:cs="Arial"/>
          <w:sz w:val="15"/>
          <w:szCs w:val="15"/>
          <w:lang w:eastAsia="pt-BR"/>
        </w:rPr>
        <w:br/>
      </w:r>
      <w:r w:rsidRPr="00E22FD3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Das descobertas fortuitas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bookmarkStart w:id="16" w:name="art17"/>
      <w:bookmarkEnd w:id="16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17. A posse e a salvaguarda dos bens de natureza arqueológica ou pré-histórica </w:t>
      </w:r>
      <w:proofErr w:type="gram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constituem,</w:t>
      </w:r>
      <w:proofErr w:type="gram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 princípio, direito imanente ao Estado.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bookmarkStart w:id="17" w:name="art18"/>
      <w:bookmarkEnd w:id="17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18. A descoberta fortuita de quaisquer elementos de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interêsse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arqueológico ou pré-histórico, histórico, artístico ou numismático, deverá ser imediatamente comunicada à Diretoria do Patrimônio Histórico e Artístico Nacional, ou aos órgãos oficiais autorizados, pelo autor do achado ou pelo proprietário do local onde tiver ocorrido.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       Parágrafo único. O proprietário ou ocupante do imóvel onde se tiver verificado o achado</w:t>
      </w:r>
      <w:proofErr w:type="gram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é</w:t>
      </w:r>
      <w:proofErr w:type="gram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responsável pela conservação provisória da coisa descoberta, até pronunciamento e deliberação da Diretoria do Patrimônio Histórico e Artístico Nacional.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bookmarkStart w:id="18" w:name="art19"/>
      <w:bookmarkEnd w:id="18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19. A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infringência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obrigação imposta no artigo anterior implicará na apreensão sumária do achado, sem prejuízo da responsabilidade do inventor pelos danos que vier a causar ao Patrimônio Nacional, em decorrência da omissão.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CAPÍTULO V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Da remessa, para o exterior, de objetos de </w:t>
      </w:r>
      <w:proofErr w:type="spellStart"/>
      <w:r w:rsidRPr="00E22FD3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interêsse</w:t>
      </w:r>
      <w:proofErr w:type="spellEnd"/>
      <w:r w:rsidRPr="00E22FD3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arqueológico ou pré-histórico, histórico, numismático ou artístico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bookmarkStart w:id="19" w:name="art20"/>
      <w:bookmarkEnd w:id="19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20. Nenhum objeto que apresente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interêsse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arqueológico ou pré-histórico, numismático ou artístico poderá ser transferido para o exterior, sem licença expressa da Diretoria do Patrimônio Histórico e Artístico Nacional, constante de uma "guia" de liberação na qual serão devidamente especificados os objetos a serem transferidos.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bookmarkStart w:id="20" w:name="art21"/>
      <w:bookmarkEnd w:id="20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21. A inobservância da prescrição do artigo anterior implicará na apreensão sumária do objeto a ser transferido, sem prejuízo das demais cominações legais a que estiver sujeito o responsável.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bookmarkStart w:id="21" w:name="art21p"/>
      <w:bookmarkEnd w:id="21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Parágrafo único. O objeto apreendido, razão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dêste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artigo, será entregue à Diretoria do Patrimônio Histórico e Artístico Nacional.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VI</w:t>
      </w:r>
      <w:proofErr w:type="gram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E22FD3">
        <w:rPr>
          <w:rFonts w:ascii="Arial" w:eastAsia="Times New Roman" w:hAnsi="Arial" w:cs="Arial"/>
          <w:sz w:val="15"/>
          <w:szCs w:val="15"/>
          <w:lang w:eastAsia="pt-BR"/>
        </w:rPr>
        <w:br/>
      </w:r>
      <w:r w:rsidRPr="00E22FD3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Disposições Gerais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bookmarkStart w:id="22" w:name="art22"/>
      <w:bookmarkEnd w:id="22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22. O aproveitamento econômico das jazidas, objeto desta lei, poderá ser realizado na forma e nas condições prescritas pelo Código de Minas, uma vez concluída a sua exploração científica, mediante parecer favorável da Diretoria do Patrimônio Histórico e Artístico Nacional ou do órgão oficial autorizado.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Parágrafo único. De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tôdas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 jazidas </w:t>
      </w:r>
      <w:proofErr w:type="gram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será preservada</w:t>
      </w:r>
      <w:proofErr w:type="gram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sempre que possível ou conveniente, uma parte significativa, a ser protegida pelos meios convenientes, como blocos testemunhos.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bookmarkStart w:id="23" w:name="art23"/>
      <w:bookmarkEnd w:id="23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23. O Conselho de Fiscalização das Expedições Artísticas e Científicas encaminhará à Diretoria do Patrimônio Histórico e Artístico Nacional qualquer pedido de cientista estrangeiro, para realizar escavações arqueológicas ou pré-históricas, no país.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bookmarkStart w:id="24" w:name="art24"/>
      <w:bookmarkEnd w:id="24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24. Nenhuma autorização de pesquisa ou de lavra para jazidas, de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calcáreo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concha, que possua as características de monumentos arqueológicos ou pré-históricos, poderá ser concedida sem audiência prévia da Diretoria do Patrimônio Histórico e Artístico Nacional.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bookmarkStart w:id="25" w:name="art25"/>
      <w:bookmarkEnd w:id="25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25. A realização de escavações arqueológicas ou pré-históricas, com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infringência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qualquer dos dispositivos desta lei, dará lugar à multa de Cr$ 5.000,00 (cinco mil cruzeiros) a Cr$ 50.000,00 (cinqüenta mil cruzeiros), sem prejuízo de sumária apreensão e conseqüente perda, para o Patrimônio Nacional, de todo o material e equipamento existentes no local.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bookmarkStart w:id="26" w:name="art26"/>
      <w:bookmarkEnd w:id="26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26. Para melhor execução da presente lei, a Diretoria do Patrimônio Histórico e Artístico Nacional poderá solicitar a colaboração de órgãos federais, estaduais, municipais, bem como de instituições que tenham, entre os seus objetivos específicos, o estudo e a defesa dos monumentos arqueológicos e pré-históricos.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bookmarkStart w:id="27" w:name="art27"/>
      <w:bookmarkEnd w:id="27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27. A Diretoria do Patrimônio Histórico e Artístico Nacional manterá um Cadastro dos monumentos arqueológicos do Brasil, no qual serão registradas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tôdas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 jazidas manifestadas, </w:t>
      </w: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de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acôrdo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 o disposto nesta lei, bem como das que se tornarem conhecidas por qualquer via.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bookmarkStart w:id="28" w:name="art28"/>
      <w:bookmarkEnd w:id="28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28. As atribuições conferidas ao Ministério da Educação e Cultura, para o cumprimento desta lei, poderão ser delegadas a qualquer unidade da Federação, que disponha de serviços técnico-administrativos especialmente organizados para a guarda, preservação e estudo das jazidas arqueológicas e pré-históricas, bem como de recursos suficientes para o custeio e bom andamento dos trabalhos.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Parágrafo único. No caso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dêste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artigo, o produto das multas aplicadas e apreensões de </w:t>
      </w:r>
      <w:proofErr w:type="gram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material legalmente feitas</w:t>
      </w:r>
      <w:proofErr w:type="gram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reverterá em benefício do serviço estadual organizado para a preservação e estudo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dêsses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monumentos.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bookmarkStart w:id="29" w:name="art29"/>
      <w:bookmarkEnd w:id="29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29. Aos infratores desta lei serão aplicadas as sanções dos </w:t>
      </w:r>
      <w:hyperlink r:id="rId12" w:anchor="art163" w:history="1">
        <w:r w:rsidRPr="00E22FD3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artigos 163 a 167 do Código Penal</w:t>
        </w:r>
      </w:hyperlink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conforme o caso, sem prejuízo de outras penalidades cabíveis.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bookmarkStart w:id="30" w:name="art30"/>
      <w:bookmarkEnd w:id="30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30. O Poder Executivo baixará, no prazo de 180 dias, a partir da vigência desta lei, a regulamentação que </w:t>
      </w:r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fôr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julgada necessária à sua fiel execução.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bookmarkStart w:id="31" w:name="art31"/>
      <w:bookmarkEnd w:id="31"/>
      <w:proofErr w:type="spellStart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31. Esta lei entrará em vigor na data de sua publicação, revogadas as disposições em contrário.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Brasília, em 26 de julho de 1961; 140º da Independência e 73º da República.</w:t>
      </w:r>
    </w:p>
    <w:p w:rsidR="00E22FD3" w:rsidRPr="00E22FD3" w:rsidRDefault="00E22FD3" w:rsidP="00E22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JÂNIO QUADROS </w:t>
      </w:r>
      <w:r w:rsidRPr="00E22FD3">
        <w:rPr>
          <w:rFonts w:ascii="Arial" w:eastAsia="Times New Roman" w:hAnsi="Arial" w:cs="Arial"/>
          <w:sz w:val="15"/>
          <w:szCs w:val="15"/>
          <w:lang w:eastAsia="pt-BR"/>
        </w:rPr>
        <w:br/>
      </w:r>
      <w:proofErr w:type="spellStart"/>
      <w:r w:rsidRPr="00E22FD3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Brígido</w:t>
      </w:r>
      <w:proofErr w:type="spellEnd"/>
      <w:r w:rsidRPr="00E22FD3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 xml:space="preserve"> Tinoco </w:t>
      </w:r>
      <w:r w:rsidRPr="00E22FD3">
        <w:rPr>
          <w:rFonts w:ascii="Arial" w:eastAsia="Times New Roman" w:hAnsi="Arial" w:cs="Arial"/>
          <w:i/>
          <w:iCs/>
          <w:sz w:val="15"/>
          <w:szCs w:val="15"/>
          <w:lang w:eastAsia="pt-BR"/>
        </w:rPr>
        <w:br/>
      </w:r>
      <w:r w:rsidRPr="00E22FD3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 xml:space="preserve">Oscar Pedroso Horta </w:t>
      </w:r>
      <w:r w:rsidRPr="00E22FD3">
        <w:rPr>
          <w:rFonts w:ascii="Arial" w:eastAsia="Times New Roman" w:hAnsi="Arial" w:cs="Arial"/>
          <w:i/>
          <w:iCs/>
          <w:sz w:val="15"/>
          <w:szCs w:val="15"/>
          <w:lang w:eastAsia="pt-BR"/>
        </w:rPr>
        <w:br/>
      </w:r>
      <w:r w:rsidRPr="00E22FD3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 xml:space="preserve">Clemente Mariani </w:t>
      </w:r>
      <w:r w:rsidRPr="00E22FD3">
        <w:rPr>
          <w:rFonts w:ascii="Arial" w:eastAsia="Times New Roman" w:hAnsi="Arial" w:cs="Arial"/>
          <w:i/>
          <w:iCs/>
          <w:sz w:val="15"/>
          <w:szCs w:val="15"/>
          <w:lang w:eastAsia="pt-BR"/>
        </w:rPr>
        <w:br/>
      </w:r>
      <w:r w:rsidRPr="00E22FD3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 xml:space="preserve">João Agripino </w:t>
      </w:r>
    </w:p>
    <w:p w:rsidR="00E22FD3" w:rsidRPr="00E22FD3" w:rsidRDefault="00E22FD3" w:rsidP="00E22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27.7.1961 e</w:t>
      </w:r>
      <w:hyperlink r:id="rId13" w:history="1">
        <w:r w:rsidRPr="00E22FD3">
          <w:rPr>
            <w:rFonts w:ascii="Arial" w:eastAsia="Times New Roman" w:hAnsi="Arial" w:cs="Arial"/>
            <w:color w:val="FF0000"/>
            <w:sz w:val="20"/>
            <w:u w:val="single"/>
            <w:lang w:eastAsia="pt-BR"/>
          </w:rPr>
          <w:t xml:space="preserve"> retificado em 28.7.1961</w:t>
        </w:r>
      </w:hyperlink>
    </w:p>
    <w:p w:rsidR="00E22FD3" w:rsidRPr="00E22FD3" w:rsidRDefault="00E22FD3" w:rsidP="00E22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*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2FD3" w:rsidRPr="00E22FD3" w:rsidRDefault="00E22FD3" w:rsidP="00E22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F0EF5" w:rsidRPr="00E22FD3" w:rsidRDefault="00E22FD3" w:rsidP="00E22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F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sectPr w:rsidR="00CF0EF5" w:rsidRPr="00E22FD3" w:rsidSect="004150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22FD3"/>
    <w:rsid w:val="00415056"/>
    <w:rsid w:val="00486F36"/>
    <w:rsid w:val="00705708"/>
    <w:rsid w:val="00E2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22FD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22FD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22FD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Decreto-Lei/Del3365.htm" TargetMode="External"/><Relationship Id="rId13" Type="http://schemas.openxmlformats.org/officeDocument/2006/relationships/hyperlink" Target="http://www.planalto.gov.br/ccivil_03/leis/1950-1969/Ret/RetL3924-6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Constituicao/Constituicao46.htm" TargetMode="External"/><Relationship Id="rId12" Type="http://schemas.openxmlformats.org/officeDocument/2006/relationships/hyperlink" Target="http://www.planalto.gov.br/ccivil_03/Decreto-Lei/Del284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Constituicao/Constituicao46.htm" TargetMode="External"/><Relationship Id="rId11" Type="http://schemas.openxmlformats.org/officeDocument/2006/relationships/hyperlink" Target="http://www.planalto.gov.br/ccivil_03/Decreto-Lei/Del3365.htm" TargetMode="External"/><Relationship Id="rId5" Type="http://schemas.openxmlformats.org/officeDocument/2006/relationships/hyperlink" Target="http://legislacao.planalto.gov.br/legisla/legislacao.nsf/Viw_Identificacao/lei%203.924-1961?OpenDocumen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lanalto.gov.br/ccivil_03/Decreto-Lei/Del3365.htm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planalto.gov.br/ccivil_03/Decreto-Lei/Del3365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2272</Words>
  <Characters>12269</Characters>
  <Application>Microsoft Office Word</Application>
  <DocSecurity>0</DocSecurity>
  <Lines>102</Lines>
  <Paragraphs>29</Paragraphs>
  <ScaleCrop>false</ScaleCrop>
  <Company/>
  <LinksUpToDate>false</LinksUpToDate>
  <CharactersWithSpaces>14512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luiza.maya</dc:creator>
  <cp:lastModifiedBy>luiza.maya</cp:lastModifiedBy>
  <cp:revision>1</cp:revision>
  <dcterms:created xsi:type="dcterms:W3CDTF">2017-04-03T15:08:00Z</dcterms:created>
  <dcterms:modified xsi:type="dcterms:W3CDTF">2017-04-03T15:09:00Z</dcterms:modified>
</cp:coreProperties>
</file>