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E74303" w:rsidRPr="00E74303" w:rsidTr="00E74303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E74303" w:rsidRPr="00E74303" w:rsidRDefault="00E74303" w:rsidP="00E7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900" cy="781050"/>
                  <wp:effectExtent l="19050" t="0" r="0" b="0"/>
                  <wp:docPr id="3" name="Imagem 3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E74303" w:rsidRPr="00E74303" w:rsidRDefault="00E74303" w:rsidP="00E7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303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E7430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E74303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E74303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E7430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E74303" w:rsidRPr="00E74303" w:rsidRDefault="00E74303" w:rsidP="00E74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E7430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12.187, DE 29 DE DEZEMBRO DE </w:t>
        </w:r>
        <w:proofErr w:type="gramStart"/>
        <w:r w:rsidRPr="00E7430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2009.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97"/>
        <w:gridCol w:w="4507"/>
      </w:tblGrid>
      <w:tr w:rsidR="00E74303" w:rsidRPr="00E74303" w:rsidTr="00E74303">
        <w:trPr>
          <w:trHeight w:val="480"/>
          <w:tblCellSpacing w:w="0" w:type="dxa"/>
        </w:trPr>
        <w:tc>
          <w:tcPr>
            <w:tcW w:w="2350" w:type="pct"/>
            <w:vAlign w:val="center"/>
            <w:hideMark/>
          </w:tcPr>
          <w:p w:rsidR="00E74303" w:rsidRPr="00E74303" w:rsidRDefault="00E74303" w:rsidP="00E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E7430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pt-BR"/>
                </w:rPr>
                <w:t xml:space="preserve">Mensagem de </w:t>
              </w:r>
              <w:proofErr w:type="gramStart"/>
              <w:r w:rsidRPr="00E7430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pt-BR"/>
                </w:rPr>
                <w:t>veto.</w:t>
              </w:r>
              <w:proofErr w:type="gramEnd"/>
            </w:hyperlink>
          </w:p>
          <w:p w:rsidR="00E74303" w:rsidRPr="00E74303" w:rsidRDefault="00E74303" w:rsidP="00E7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anchor="art1p" w:history="1">
              <w:r w:rsidRPr="00E7430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(Vide Decreto de 15 de setembro de 2010)</w:t>
              </w:r>
            </w:hyperlink>
          </w:p>
        </w:tc>
        <w:tc>
          <w:tcPr>
            <w:tcW w:w="2650" w:type="pct"/>
            <w:vAlign w:val="center"/>
            <w:hideMark/>
          </w:tcPr>
          <w:p w:rsidR="00E74303" w:rsidRPr="00E74303" w:rsidRDefault="00E74303" w:rsidP="00E7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430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Institui a Política Nacional sobre Mudança do Clima - PNMC e dá outras providências.</w:t>
            </w:r>
          </w:p>
        </w:tc>
      </w:tr>
    </w:tbl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E7430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 PRESIDENTE DA REPÚBLICA 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saber que o Congresso Nacional decreta e eu sanciono a seguinte Lei: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Esta Lei institui a Política Nacional sobre Mudança do Clima - PNMC e estabelece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seus princípios, objetivos, diretrizes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instrumentos.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Para os fins previstos nesta Lei, entende-se por: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adaptação: iniciativas e medidas para reduzir a vulnerabilidade dos sistemas naturais e humanos frente aos efeitos atuais e esperados da mudança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efeitos adversos da mudança do clima: mudanças no meio físico ou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biota resultantes da mudança do clima que tenham efeitos deletérios significativos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sobre a composição,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resiliência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ou produtividade de ecossistemas naturais e manejados, sobre o funcionamento de sistemas socioeconômicos ou sobre a saúde e o bem-estar humanos;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emissões: liberação de gases de efeito estufa ou seus precursores na atmosfera numa área específica e num período determinado;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fonte: processo ou atividade que libere na atmosfera gás de efeito estufa, aerossol ou precursor de gás de efeito estufa;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gases de efeito estufa: constituintes gasosos, naturais ou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antrópicos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que, na atmosfera, absorvem e reemitem radiação infravermelha;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impacto: os efeitos da mudança do clima nos sistemas humanos e naturais;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 - mitigação: mudanças e substituições tecnológicas que reduzam o uso de recursos e as emissões por unidade de produção, bem como a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medidas que reduzam as emissões de gases de efeito estufa e aumentem os sumidouros;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VIII - mudança do clima: mudança de clima que possa ser direta ou indiretamente atribuída à atividade humana que altere a composição da atmosfera mundial e que se some àquela provocada pela variabilidade climática natural observada ao longo de períodos comparáveis;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IX - sumidouro: processo, atividade ou mecanismo que remova da atmosfera gás de efeito estufa, aerossol ou precursor de gás de efeito estufa; e 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 - vulnerabilidade: grau de suscetibilidade e incapacidade de um sistema, em função de sua sensibilidade, capacidade de adaptação, e do caráter, magnitude e taxa de mudança e variação do clima a que está exposto, de lidar com os efeitos adversos da mudança do clima, entre os quais a variabilidade climática e os eventos extremos.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3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PNMC e as ações dela decorrentes, executadas sob a responsabilidade dos entes políticos e dos órgãos da administração pública, observarão os princípios da precaução, da prevenção, da participação cidadã, do desenvolvimento sustentável e o das responsabilidades comuns, porém diferenciadas, este último no âmbito internacional, e, quanto às medidas a serem adotadas na sua execução, será considerado o seguinte: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todos têm o dever de atuar, em benefício das presentes e futuras gerações, para a redução dos impactos decorrentes das interferências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sobre o sistema climático;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serão tomadas medidas para prever, evitar ou minimizar as causas identificadas da mudança climática com origem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território nacional, sobre as quais haja razoável consenso por parte dos meios científicos e técnicos ocupados no estudo dos fenômenos envolvidos;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as medidas tomadas devem levar em consideração os diferentes contextos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socioeconomicos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sua aplicação, distribuir os ônus e encargos decorrentes entre os setores econômicos e as populações e comunidades interessadas de modo equitativo e equilibrado e sopesar as responsabilidades individuais quanto à origem das fontes emissoras e dos efeitos ocasionados sobre 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o desenvolvimento sustentável é a condição para enfrentar as alterações climáticas e conciliar o atendimento às necessidades comuns e particulares das populações e comunidades que vivem no território nacional;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as ações de âmbito nacional para o enfrentamento das alterações climáticas, atuais, presentes e futuras, devem considerar e integrar as ações promovidas no âmbito estadual e municipal por entidades públicas e privadas;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 – </w:t>
      </w:r>
      <w:hyperlink r:id="rId8" w:history="1">
        <w:r w:rsidRPr="00E7430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Política Nacional sobre Mudança do Clima - PNMC visará: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à compatibilização do desenvolvimento econômico-social com a proteção do sistema climático; 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à redução das emissões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gases de efeito estufa em relação às suas diferentes fontes; 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– </w:t>
      </w:r>
      <w:hyperlink r:id="rId9" w:history="1">
        <w:r w:rsidRPr="00E7430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ao fortalecimento das remoções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sumidouros de gases de efeito estufa no território nacional; 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à implementação de medidas para promover a adaptação à mudança do clima pelas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(três) esferas da Federação, com a participação e a colaboração dos agentes econômicos e sociais interessados ou beneficiários, em particular aqueles especialmente vulneráveis aos seus efeitos adversos;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à preservação, à conservação e à recuperação dos recursos ambientais, com particular atenção aos grandes biomas naturais tidos como Patrimônio Nacional;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à consolidação e à expansão das áreas legalmente protegidas e ao incentivo aos reflorestamentos e à recomposição da cobertura vegetal em áreas degradadas;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VIII - ao estímulo ao desenvolvimento do Mercado Brasileiro de Redução de Emissões - MBRE.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Parágrafo único. Os objetivos da Política Nacional sobre Mudança do Clima deverão estar em consonância com o desenvolvimento sustentável a fim de buscar o crescimento econômico, a erradicação da pobreza e a redução das desigualdades sociais.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São diretrizes da Política Nacional sobre Mudança do Clima: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os compromissos assumidos pelo Brasil na Convenção-Quadro das Nações Unidas sobre Mudança do Clima, no Protocolo de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Quioto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nos demais documentos sobre mudança do clima dos quais vier a ser signatário;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as ações de mitigação da mudança do clima em consonância com o desenvolvimento sustentável, que sejam, sempre que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possível, mensuráveis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sua adequada quantificação e verificação a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posteriori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as medidas de adaptação para reduzir os efeitos adversos da mudança do clima e a vulnerabilidade dos sistemas ambiental, social e econômico;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as estratégias integradas de mitigação e adaptação à mudança do clima nos âmbitos local, regional e nacional;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o estímulo e o apoio à participação dos governos federal, estadual, distrital e municipal, assim como do setor produtivo, do meio acadêmico e da sociedade civil organizada, no desenvolvimento e na execução de políticas, planos, programas e ações relacionados à mudança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a promoção e o desenvolvimento de pesquisas científico-tecnológicas, e a difusão de tecnologias, processos e práticas orientados a: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mitigar a mudança do clima por meio da redução de emissões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fontes e do fortalecimento das remoções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sumidouros de gases de efeito estufa;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reduzir as incertezas nas projeções nacionais e regionais futuras da mudança do clima; 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identificar vulnerabilidades e adotar medidas de adaptação adequadas;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a utilização de instrumentos financeiros e econômicos para promover ações de mitigação e adaptação à mudança do clima, observado o disposto no art. 6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- a identificação, e sua articulação com a Política prevista nesta Lei, de instrumentos de ação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governamental já estabelecidos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aptos a contribuir para proteger o sistema climático;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IX - o apoio e o fomento às atividades que efetivamente reduzam as emissões ou promovam as remoções por sumidouros de gases de efeito estufa; 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X - a promoção da cooperação internacional no âmbito bilateral, regional e multilateral para o financiamento, a capacitação, o desenvolvimento, a transferência e a difusão de tecnologias e processos para a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ações de mitigação e adaptação, incluindo a pesquisa científica, a observação sistemática e o intercâmbio de informações;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XI - o aperfeiçoamento da observação sistemática e precisa do clima e suas manifestações no território nacional e nas áreas oceânicas contíguas; 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XII - a promoção da disseminação de informações, a educação, a capacitação e a conscientização pública sobre mudança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XIII - o estímulo e o apoio à manutenção e à promoção: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a) de práticas, atividades e tecnologias de baixas emissões de gases de efeito estufa;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de padrões sustentáveis de produção e consumo.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art6"/>
      <w:bookmarkEnd w:id="0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São instrumentos da Política Nacional sobre Mudança do Clima:    </w:t>
      </w:r>
      <w:hyperlink r:id="rId10" w:history="1">
        <w:r w:rsidRPr="00E7430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(Regulamento)</w:t>
        </w:r>
      </w:hyperlink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Plano Nacional sobre Mudança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o Fundo Nacional sobre Mudança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Planos de Ação para a Prevenção e Controle do Desmatamento nos biomas;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a Comunicação Nacional do Brasil à Convenção-Quadro das Nações Unidas sobre Mudança do Clima, de acordo com os critérios estabelecidos por essa Convenção e por suas Conferências das Partes;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as resoluções da Comissão Interministerial de Mudança Global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as medidas fiscais e tributárias destinadas a estimular a redução das emissões e remoção de gases de efeito estufa, incluindo alíquotas diferenciadas, isenções, compensações e incentivos, a serem estabelecidos em lei específica;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as linhas de crédito e financiamento específicas de agentes financeiros públicos e privados;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VIII - o desenvolvimento de linhas de pesquisa por agências de fomento;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IX - as dotações específicas para ações em mudança do clima no orçamento da União;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X - os mecanismos financeiros e econômicos referentes à mitigação da mudança do clima e à adaptação aos efeitos da mudança do clima que existam no âmbito da Convenção-Quadro das Nações Unidas sobre Mudança do Clima e do Protocolo de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Quioto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 - os mecanismos financeiros e econômicos, no âmbito nacional, referentes à mitigação e à adaptação à mudança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XII - as medidas existentes, ou a serem criadas, que estimulem o desenvolvimento de processos e tecnologias, que contribuam para a redução de emissões e remoções de gases de efeito estufa, bem como para a adaptação, dentre as quais o estabelecimento de critérios de preferência nas licitações e concorrências públicas, compreendidas aí as parcerias público-privadas e a autorização, permissão, outorga e concessão para exploração de serviços públicos e recursos naturais, para as propostas que propiciem maior economia de energia, água e outros recursos naturais e redução da emissão de gases de efeito estufa e de resíduos;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XIII - os registros, inventários, estimativas, avaliações e quaisquer outros estudos de emissões de gases de efeito estufa e de suas fontes, elaborados com base em informações e dados fornecidos por entidades públicas e privadas;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XIV - as medidas de divulgação, educação e conscientização;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XV - o monitoramento climático nacional;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XVI - os indicadores de sustentabilidade;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XVII - o estabelecimento de padrões ambientais e de metas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quantificáveis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verificáveis, para a redução de emissões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fontes e para as remoções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sumidouros de gases de efeito estufa;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XVIII - a avaliação de impactos ambientais sobre o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microclima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o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macroclima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instrumentos institucionais para a atuação da Política Nacional de Mudança do Clima incluem: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Comitê Interministerial sobre Mudança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a Comissão Interministerial de Mudança Global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Fórum Brasileiro de Mudança do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a Rede Brasileira de Pesquisas sobre Mudanças Climáticas Globais - Rede Clima;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a Comissão de Coordenação das Atividades de Meteorologia, Climatologia e Hidrologia.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instituições financeiras oficiais disponibilizarão linhas de crédito e financiamento específicas para desenvolver ações e atividades que atendam aos objetivos desta Lei e voltadas para induzir a conduta dos agentes privados à observância e execução da PNMC, no âmbito de suas ações e responsabilidades sociais.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art9"/>
      <w:bookmarkEnd w:id="1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9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 Mercado Brasileiro de Redução de Emissões - MBRE será operacionalizado em bolsas de mercadorias e futuros, bolsas de valores e entidades de balcão organizado,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autorizadas pela Comissão de Valores Mobiliários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CVM, onde se dará a negociação de títulos mobiliários representativos de emissões de gases de efeito estufa evitadas certificadas.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Art. 10.  </w:t>
      </w:r>
      <w:hyperlink r:id="rId11" w:history="1">
        <w:r w:rsidRPr="00E7430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bookmarkStart w:id="2" w:name="art11"/>
      <w:bookmarkEnd w:id="2"/>
      <w:r w:rsidRPr="00E74303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Art. 11.  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princípios, objetivos, diretrizes e instrumentos das políticas públicas e programas governamentais deverão compatibilizar-se com os princípios, objetivos, diretrizes e instrumentos desta Política Nacional sobre Mudança do Clima.    </w:t>
      </w:r>
      <w:hyperlink r:id="rId12" w:history="1">
        <w:r w:rsidRPr="00E7430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(Regulamento)</w:t>
        </w:r>
      </w:hyperlink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  Decreto do Poder Executivo estabelecerá, em consonância com a Política Nacional sobre Mudança do Clima, os Planos setoriais de mitigação e de adaptação às mudanças climáticas visando à consolidação de uma economia de baixo consumo de carbono, na geração e distribuição de energia elétrica, no transporte público urbano e nos sistemas modais de transporte interestadual de cargas e passageiros, na indústria de transformação e na de bens de consumo duráveis, nas indústrias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químicas fina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de base, na indústria de papel e celulose, na mineração, na indústria da construção civil, nos serviços de saúde e na agropecuária, com vistas em atender metas gradativas de redução de emissões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quantificáveis e verificáveis, considerando as especificidades de cada setor, inclusive por meio do Mecanismo de Desenvolvimento Limpo - MDL e das Ações de Mitigação Nacionalmente Apropriadas -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NAMAs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bookmarkStart w:id="3" w:name="art12"/>
      <w:bookmarkEnd w:id="3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12.  Para alcançar os objetivos da PNMC, o País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adotará,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como compromisso nacional voluntário, ações de mitigação das emissões de gases de efeito estufa, com vistas em reduzir entre 36,1% (trinta e seis inteiros e um décimo por cento) e 38,9% (trinta e oito inteiros e nove décimos por cento) suas emissões projetadas até 2020.    </w:t>
      </w:r>
      <w:hyperlink r:id="rId13" w:history="1">
        <w:r w:rsidRPr="00E7430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(Regulamento)</w:t>
        </w:r>
      </w:hyperlink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  A projeção das emissões para 2020 assim como o detalhamento das ações para alcançar o objetivo expresso no caput </w:t>
      </w:r>
      <w:proofErr w:type="gram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serão dispostos</w:t>
      </w:r>
      <w:proofErr w:type="gram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decreto, tendo por base o segundo Inventário Brasileiro de Emissões e Remoções </w:t>
      </w:r>
      <w:proofErr w:type="spellStart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Antrópicas</w:t>
      </w:r>
      <w:proofErr w:type="spellEnd"/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Gases de Efeito Estufa não Controlados pelo Protocolo de Montreal, a ser concluído em 2010.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13.  Esta Lei entra em vigor na data de sua publicação.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  29  de dezembro de 2009; 188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Independência e 121</w:t>
      </w:r>
      <w:r w:rsidRPr="00E7430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7430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República.</w:t>
      </w:r>
    </w:p>
    <w:p w:rsidR="00E74303" w:rsidRPr="00E74303" w:rsidRDefault="00E74303" w:rsidP="00E7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3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INÁCIO LULA DA SILVA</w:t>
      </w:r>
      <w:r w:rsidRPr="00E743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Nelson Machado</w:t>
      </w:r>
      <w:r w:rsidRPr="00E743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Edison Lobão</w:t>
      </w:r>
      <w:r w:rsidRPr="00E743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 xml:space="preserve">Paulo Bernardo Silva </w:t>
      </w:r>
      <w:r w:rsidRPr="00E743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Luís Inácio Lucena Adams</w:t>
      </w:r>
    </w:p>
    <w:p w:rsidR="00E74303" w:rsidRPr="00E74303" w:rsidRDefault="00E74303" w:rsidP="00E74303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430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30.12.2009 - Edição extra</w:t>
      </w:r>
    </w:p>
    <w:p w:rsidR="00CF0EF5" w:rsidRPr="00E74303" w:rsidRDefault="00E74303" w:rsidP="00E74303">
      <w:pPr>
        <w:spacing w:before="300" w:after="30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CF0EF5" w:rsidRPr="00E74303" w:rsidSect="009E0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4303"/>
    <w:rsid w:val="00486F36"/>
    <w:rsid w:val="00705708"/>
    <w:rsid w:val="009E0823"/>
    <w:rsid w:val="00E7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743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430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43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E7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7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E7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E7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9/Msg/VEP-1123-09.htm" TargetMode="External"/><Relationship Id="rId13" Type="http://schemas.openxmlformats.org/officeDocument/2006/relationships/hyperlink" Target="http://www.planalto.gov.br/ccivil_03/_ato2007-2010/2010/Decreto/D739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7-2010/2010/Dnn/Dnn12867.htm" TargetMode="External"/><Relationship Id="rId12" Type="http://schemas.openxmlformats.org/officeDocument/2006/relationships/hyperlink" Target="http://www.planalto.gov.br/ccivil_03/_ato2007-2010/2010/Decreto/D739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7-2010/2009/Msg/VEP-1123-09.htm" TargetMode="External"/><Relationship Id="rId11" Type="http://schemas.openxmlformats.org/officeDocument/2006/relationships/hyperlink" Target="http://www.planalto.gov.br/ccivil_03/_ato2007-2010/2009/Msg/VEP-1123-09.htm" TargetMode="External"/><Relationship Id="rId5" Type="http://schemas.openxmlformats.org/officeDocument/2006/relationships/hyperlink" Target="http://legislacao.planalto.gov.br/legisla/legislacao.nsf/Viw_Identificacao/lei%2012.187-2009?OpenDocu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_ato2007-2010/2010/Decreto/D7390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_ato2007-2010/2009/Msg/VEP-1123-09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2370</Words>
  <Characters>12800</Characters>
  <Application>Microsoft Office Word</Application>
  <DocSecurity>0</DocSecurity>
  <Lines>106</Lines>
  <Paragraphs>30</Paragraphs>
  <ScaleCrop>false</ScaleCrop>
  <Company/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2017-03-29T16:46:00Z</dcterms:created>
  <dcterms:modified xsi:type="dcterms:W3CDTF">2017-03-29T16:48:00Z</dcterms:modified>
</cp:coreProperties>
</file>