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71" w:rsidRPr="00E80B71" w:rsidRDefault="00E80B71" w:rsidP="00E80B71">
      <w:pPr>
        <w:pBdr>
          <w:bottom w:val="single" w:sz="6" w:space="11" w:color="CCCCCC"/>
        </w:pBdr>
        <w:shd w:val="clear" w:color="auto" w:fill="FFFFFF"/>
        <w:spacing w:after="0" w:line="390" w:lineRule="atLeast"/>
        <w:ind w:left="300" w:right="300"/>
        <w:outlineLvl w:val="1"/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pt-BR"/>
        </w:rPr>
      </w:pPr>
      <w:r w:rsidRPr="00E80B71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pt-BR"/>
        </w:rPr>
        <w:t>Decreto Nº 21552 DE 31/07/2012</w:t>
      </w:r>
    </w:p>
    <w:p w:rsidR="00E80B71" w:rsidRDefault="00E80B71" w:rsidP="00E80B71">
      <w:pPr>
        <w:shd w:val="clear" w:color="auto" w:fill="FFFFFF"/>
        <w:spacing w:after="0" w:line="390" w:lineRule="atLeast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pt-BR"/>
        </w:rPr>
        <w:t xml:space="preserve">Dispensa de licenciamento ambiental de pequenos sistemas de </w:t>
      </w:r>
      <w:proofErr w:type="spellStart"/>
      <w:r w:rsidRPr="00E80B7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pt-BR"/>
        </w:rPr>
        <w:t>dessalinizadores</w:t>
      </w:r>
      <w:proofErr w:type="spellEnd"/>
      <w:r w:rsidRPr="00E80B7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pt-BR"/>
        </w:rPr>
        <w:t xml:space="preserve"> conduzidos pela Secretaria de Estado do Meio Ambiente e dos Recursos Hídricos - SEMARH, e dá outras providências.</w:t>
      </w:r>
    </w:p>
    <w:p w:rsidR="00E80B71" w:rsidRPr="00E80B71" w:rsidRDefault="00E80B71" w:rsidP="00E80B71">
      <w:pPr>
        <w:shd w:val="clear" w:color="auto" w:fill="FFFFFF"/>
        <w:spacing w:after="0" w:line="390" w:lineRule="atLeast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pt-BR"/>
        </w:rPr>
      </w:pP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O Governador do Estado de Alagoas, no uso da atribuição que lhe confere o inciso IV do art. 107 da Constituição Estadual, e tendo em vista o que consta do Processo Administrativo nº 4903-2824/2012,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Decreta: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Art. 1º. Ficam dispensados do licenciamento ambiental os sistemas de dessalinização de água de pequeno porte, por serem atividades com insignificante potencial de impacto poluidor.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Parágrafo único. A dispensa de que trata o caput deste artigo somente será concedida aos sistemas implantados pela Secretaria de Estado do Meio Ambiente e dos Recursos Hídricos - SEMARH, nas regiões do agreste e semi-árido do Estado de Alagoas.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Art. 2º. O transporte e a destinação final de concentrados sólidos, contendo sais diversos, resultantes do processo de dessalinização, bem como a sua destinação, deverão ser autorizados pelo Instituto do Meio Ambiente do Estado de Alagoas - IMA.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Parágrafo único. Caberá à Prefeitura do município beneficiado pela implantação do sistema de dessalinização requerer a autorização contida no caput deste artigo.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Art. 3º. Este Decreto entra em vigor na data de sua publicação.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Art. 4º. Revogam-se as disposições em contrário.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PALÁCIO REPÚBLICA DOS PALMARES, em Maceió, 31 de julho de 2012, 196º da Emancipação Política e 124º da República.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TEOTONIO VILELA FILHO</w:t>
      </w:r>
    </w:p>
    <w:p w:rsidR="00E80B71" w:rsidRPr="00E80B71" w:rsidRDefault="00E80B71" w:rsidP="00E80B71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80B71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Governador</w:t>
      </w:r>
    </w:p>
    <w:p w:rsidR="00B820A5" w:rsidRDefault="00B820A5"/>
    <w:sectPr w:rsidR="00B820A5" w:rsidSect="00B820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00F0B"/>
    <w:multiLevelType w:val="multilevel"/>
    <w:tmpl w:val="C94C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B71"/>
    <w:rsid w:val="00B820A5"/>
    <w:rsid w:val="00E8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A5"/>
  </w:style>
  <w:style w:type="paragraph" w:styleId="Ttulo2">
    <w:name w:val="heading 2"/>
    <w:basedOn w:val="Normal"/>
    <w:link w:val="Ttulo2Char"/>
    <w:uiPriority w:val="9"/>
    <w:qFormat/>
    <w:rsid w:val="00E80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80B7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islacao-do">
    <w:name w:val="legislacao-do"/>
    <w:basedOn w:val="Normal"/>
    <w:rsid w:val="00E8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80B71"/>
  </w:style>
  <w:style w:type="paragraph" w:styleId="NormalWeb">
    <w:name w:val="Normal (Web)"/>
    <w:basedOn w:val="Normal"/>
    <w:uiPriority w:val="99"/>
    <w:semiHidden/>
    <w:unhideWhenUsed/>
    <w:rsid w:val="00E8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islacao-ementa">
    <w:name w:val="legislacao-ementa"/>
    <w:basedOn w:val="Normal"/>
    <w:rsid w:val="00E8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estagiarios.coojur</dc:creator>
  <cp:lastModifiedBy>estagiarios.coojur</cp:lastModifiedBy>
  <cp:revision>1</cp:revision>
  <dcterms:created xsi:type="dcterms:W3CDTF">2017-04-10T14:38:00Z</dcterms:created>
  <dcterms:modified xsi:type="dcterms:W3CDTF">2017-04-10T14:39:00Z</dcterms:modified>
</cp:coreProperties>
</file>