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4848"/>
      </w:tblGrid>
      <w:tr w:rsidR="00282B68" w:rsidRPr="00282B68" w:rsidTr="00282B68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282B68" w:rsidRPr="00282B68" w:rsidRDefault="00282B68" w:rsidP="00282B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inline distT="0" distB="0" distL="0" distR="0">
                      <wp:extent cx="701675" cy="786765"/>
                      <wp:effectExtent l="0" t="0" r="0" b="0"/>
                      <wp:docPr id="1" name="Retângulo 1" descr="Brastra.gif (4376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01675" cy="786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1" o:spid="_x0000_s1026" alt="Brastra.gif (4376 bytes)" style="width:55.25pt;height:6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00" w:type="pct"/>
            <w:vAlign w:val="center"/>
            <w:hideMark/>
          </w:tcPr>
          <w:p w:rsidR="00282B68" w:rsidRPr="00282B68" w:rsidRDefault="00282B68" w:rsidP="00282B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2B68">
              <w:rPr>
                <w:rFonts w:ascii="Arial" w:eastAsia="Times New Roman" w:hAnsi="Arial" w:cs="Arial"/>
                <w:b/>
                <w:bCs/>
                <w:color w:val="808000"/>
                <w:sz w:val="36"/>
                <w:szCs w:val="36"/>
                <w:lang w:eastAsia="pt-BR"/>
              </w:rPr>
              <w:t>Presidência da República</w:t>
            </w:r>
            <w:r w:rsidRPr="00282B68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282B68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t>Casa Civil</w:t>
            </w:r>
            <w:r w:rsidRPr="00282B68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282B68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282B68" w:rsidRPr="00282B68" w:rsidRDefault="00282B68" w:rsidP="00282B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5" w:history="1">
        <w:r w:rsidRPr="00282B68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 xml:space="preserve">DECRETO Nº 6.321, DE 21 DE DEZEMBRO DE </w:t>
        </w:r>
        <w:proofErr w:type="gramStart"/>
        <w:r w:rsidRPr="00282B68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>2007.</w:t>
        </w:r>
        <w:proofErr w:type="gramEnd"/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282B68" w:rsidRPr="00282B68" w:rsidTr="00282B68">
        <w:trPr>
          <w:trHeight w:val="300"/>
          <w:tblCellSpacing w:w="0" w:type="dxa"/>
        </w:trPr>
        <w:tc>
          <w:tcPr>
            <w:tcW w:w="2500" w:type="pct"/>
            <w:vAlign w:val="center"/>
            <w:hideMark/>
          </w:tcPr>
          <w:p w:rsidR="00282B68" w:rsidRPr="00282B68" w:rsidRDefault="00282B68" w:rsidP="0028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2B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282B68" w:rsidRPr="00282B68" w:rsidRDefault="00282B68" w:rsidP="00282B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2B68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Dispõe sobre ações relativas à prevenção, monitoramento e controle de desmatamento no Bioma Amazônia, bem como altera e acresce dispositivos ao Decreto n</w:t>
            </w:r>
            <w:r w:rsidRPr="00282B68">
              <w:rPr>
                <w:rFonts w:ascii="Arial" w:eastAsia="Times New Roman" w:hAnsi="Arial" w:cs="Arial"/>
                <w:color w:val="800000"/>
                <w:sz w:val="20"/>
                <w:szCs w:val="20"/>
                <w:u w:val="single"/>
                <w:vertAlign w:val="superscript"/>
                <w:lang w:eastAsia="pt-BR"/>
              </w:rPr>
              <w:t>o</w:t>
            </w:r>
            <w:r w:rsidRPr="00282B68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 3.179, de 21 de setembro de 1999, que dispõe sobre a especificação das sanções aplicáveis às condutas e atividades lesivas ao meio ambiente, e dá outras providências.</w:t>
            </w:r>
          </w:p>
        </w:tc>
      </w:tr>
    </w:tbl>
    <w:p w:rsidR="00282B68" w:rsidRPr="00282B68" w:rsidRDefault="00282B68" w:rsidP="00282B68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82B6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O PRESIDENTE DA REPÚBLICA</w:t>
      </w: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no uso da atribuição que lhe confere o art. 84, inciso IV, da Constituição, e tendo em vista o disposto nos </w:t>
      </w:r>
      <w:proofErr w:type="spellStart"/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arts</w:t>
      </w:r>
      <w:proofErr w:type="spellEnd"/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2</w:t>
      </w:r>
      <w:r w:rsidRPr="00282B68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incisos II e IX, 4</w:t>
      </w:r>
      <w:r w:rsidRPr="00282B68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inciso II, da Lei n</w:t>
      </w:r>
      <w:r w:rsidRPr="00282B68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 </w:t>
      </w: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6.938, de 31 de agosto de 1981, no art. 14, alínea “a”, da Lei n</w:t>
      </w:r>
      <w:r w:rsidRPr="00282B68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4.771, de 15 de setembro de 1965, no art. 2</w:t>
      </w:r>
      <w:r w:rsidRPr="00282B68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§ 3</w:t>
      </w:r>
      <w:r w:rsidRPr="00282B68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da Lei n</w:t>
      </w:r>
      <w:r w:rsidRPr="00282B68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5.868, de 12 de dezembro de 1972, no art. 46, inciso I, alínea “c”, da Lei n</w:t>
      </w:r>
      <w:r w:rsidRPr="00282B68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4.504, de 30 de novembro de 1964, e no Capítulo VI da Lei n</w:t>
      </w:r>
      <w:r w:rsidRPr="00282B68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9.605, de 12 de fevereiro de 1998,</w:t>
      </w:r>
    </w:p>
    <w:p w:rsidR="00282B68" w:rsidRPr="00282B68" w:rsidRDefault="00282B68" w:rsidP="00282B68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82B6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DECRETA:</w:t>
      </w:r>
    </w:p>
    <w:p w:rsidR="00282B68" w:rsidRPr="00282B68" w:rsidRDefault="00282B68" w:rsidP="00282B68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82B68">
        <w:rPr>
          <w:rFonts w:ascii="Arial" w:eastAsia="Times New Roman" w:hAnsi="Arial" w:cs="Arial"/>
          <w:sz w:val="20"/>
          <w:szCs w:val="20"/>
          <w:lang w:eastAsia="pt-BR"/>
        </w:rPr>
        <w:t>Art. 1</w:t>
      </w:r>
      <w:r w:rsidRPr="00282B68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sz w:val="20"/>
          <w:szCs w:val="20"/>
          <w:lang w:eastAsia="pt-BR"/>
        </w:rPr>
        <w:t>  Este Decreto estabelece, no Bioma Amazônia, ações relativas à proteção de áreas ameaçadas de degradação e à racionalização do uso do solo, de forma a prevenir, monitorar e controlar o desmatamento ilegal. </w:t>
      </w:r>
    </w:p>
    <w:p w:rsidR="00282B68" w:rsidRPr="00282B68" w:rsidRDefault="00282B68" w:rsidP="00282B68">
      <w:pPr>
        <w:spacing w:before="100" w:beforeAutospacing="1" w:after="120" w:line="240" w:lineRule="auto"/>
        <w:ind w:firstLine="45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82B68">
        <w:rPr>
          <w:rFonts w:ascii="Arial" w:eastAsia="Times New Roman" w:hAnsi="Arial" w:cs="Arial"/>
          <w:sz w:val="20"/>
          <w:szCs w:val="20"/>
          <w:lang w:eastAsia="pt-BR"/>
        </w:rPr>
        <w:t>Art. 2</w:t>
      </w:r>
      <w:r w:rsidRPr="00282B68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sz w:val="20"/>
          <w:szCs w:val="20"/>
          <w:lang w:eastAsia="pt-BR"/>
        </w:rPr>
        <w:t>  Para os fins do disposto no art. 1</w:t>
      </w:r>
      <w:r w:rsidRPr="00282B68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sz w:val="20"/>
          <w:szCs w:val="20"/>
          <w:lang w:eastAsia="pt-BR"/>
        </w:rPr>
        <w:t>, o Ministério do Meio Ambiente editará anualmente portaria com lista de Municípios situados no Bioma Amazônia, cuja identificação das áreas será realizada a partir da dinâmica histórica de desmatamento verificada pelo Instituto Nacional de Pesquisas Espaciais - INPE, com base nos seguintes critérios:</w:t>
      </w:r>
    </w:p>
    <w:p w:rsidR="00282B68" w:rsidRPr="00282B68" w:rsidRDefault="00282B68" w:rsidP="00282B68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 - área total de floresta desmatada;</w:t>
      </w:r>
    </w:p>
    <w:p w:rsidR="00282B68" w:rsidRPr="00282B68" w:rsidRDefault="00282B68" w:rsidP="00282B68">
      <w:pPr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82B68">
        <w:rPr>
          <w:rFonts w:ascii="Arial" w:eastAsia="Times New Roman" w:hAnsi="Arial" w:cs="Arial"/>
          <w:sz w:val="20"/>
          <w:szCs w:val="20"/>
          <w:lang w:eastAsia="pt-BR"/>
        </w:rPr>
        <w:t xml:space="preserve">II - área total de floresta desmatada nos últimos três anos; </w:t>
      </w:r>
      <w:proofErr w:type="gramStart"/>
      <w:r w:rsidRPr="00282B68">
        <w:rPr>
          <w:rFonts w:ascii="Arial" w:eastAsia="Times New Roman" w:hAnsi="Arial" w:cs="Arial"/>
          <w:sz w:val="20"/>
          <w:szCs w:val="20"/>
          <w:lang w:eastAsia="pt-BR"/>
        </w:rPr>
        <w:t>e</w:t>
      </w:r>
      <w:proofErr w:type="gramEnd"/>
    </w:p>
    <w:p w:rsidR="00282B68" w:rsidRPr="00282B68" w:rsidRDefault="00282B68" w:rsidP="00282B68">
      <w:pPr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82B68">
        <w:rPr>
          <w:rFonts w:ascii="Arial" w:eastAsia="Times New Roman" w:hAnsi="Arial" w:cs="Arial"/>
          <w:sz w:val="20"/>
          <w:szCs w:val="20"/>
          <w:lang w:eastAsia="pt-BR"/>
        </w:rPr>
        <w:t>III - aumento da taxa de desmatamento em pelo menos três, dos últimos cinco anos.</w:t>
      </w:r>
    </w:p>
    <w:p w:rsidR="00282B68" w:rsidRPr="00282B68" w:rsidRDefault="00282B68" w:rsidP="00282B68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3</w:t>
      </w:r>
      <w:r w:rsidRPr="00282B68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Os imóveis rurais, a qualquer título, situados nos Municípios constantes da lista mencionada no art. 2</w:t>
      </w:r>
      <w:r w:rsidRPr="00282B68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poderão ser objeto de atualização cadastral junto ao Instituto Nacional de Colonização e Reforma Agrária - INCRA para atender ao disposto no </w:t>
      </w:r>
      <w:hyperlink r:id="rId6" w:anchor="art2§3" w:history="1">
        <w:r w:rsidRPr="00282B6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§ 3</w:t>
        </w:r>
      </w:hyperlink>
      <w:hyperlink r:id="rId7" w:anchor="art2§3" w:history="1">
        <w:r w:rsidRPr="00282B68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282B6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 do art. 2</w:t>
        </w:r>
        <w:r w:rsidRPr="00282B68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282B6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 da Lei n</w:t>
        </w:r>
        <w:r w:rsidRPr="00282B68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282B6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 5.868, de 12 dezembro de </w:t>
        </w:r>
        <w:proofErr w:type="gramStart"/>
        <w:r w:rsidRPr="00282B6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1972.</w:t>
        </w:r>
        <w:proofErr w:type="gramEnd"/>
      </w:hyperlink>
    </w:p>
    <w:p w:rsidR="00282B68" w:rsidRPr="00282B68" w:rsidRDefault="00282B68" w:rsidP="00282B68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82B68">
        <w:rPr>
          <w:rFonts w:ascii="Arial" w:eastAsia="Times New Roman" w:hAnsi="Arial" w:cs="Arial"/>
          <w:color w:val="000000"/>
          <w:spacing w:val="-4"/>
          <w:sz w:val="20"/>
          <w:szCs w:val="20"/>
          <w:lang w:eastAsia="pt-BR"/>
        </w:rPr>
        <w:t>§ 1</w:t>
      </w:r>
      <w:r w:rsidRPr="00282B68">
        <w:rPr>
          <w:rFonts w:ascii="Arial" w:eastAsia="Times New Roman" w:hAnsi="Arial" w:cs="Arial"/>
          <w:color w:val="000000"/>
          <w:spacing w:val="-4"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color w:val="000000"/>
          <w:spacing w:val="-4"/>
          <w:sz w:val="20"/>
          <w:szCs w:val="20"/>
          <w:lang w:eastAsia="pt-BR"/>
        </w:rPr>
        <w:t>  O objetivo precípuo da atualização cadastral é reunir dados e informações para monitorar, de forma preventiva, a ocorrência de novos desmatamentos ilegais, bem como promover a integração de elementos de controle e gestão compartilhada entre as políticas agrária, agrícola e ambiental.</w:t>
      </w:r>
    </w:p>
    <w:p w:rsidR="00282B68" w:rsidRPr="00282B68" w:rsidRDefault="00282B68" w:rsidP="00282B68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 2</w:t>
      </w:r>
      <w:r w:rsidRPr="00282B68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Os prazos e especificações técnicas referentes à execução da atualização do cadastro mencionado no </w:t>
      </w:r>
      <w:r w:rsidRPr="00282B6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</w:t>
      </w: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serão </w:t>
      </w:r>
      <w:proofErr w:type="gramStart"/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definidas</w:t>
      </w:r>
      <w:proofErr w:type="gramEnd"/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em instrução normativa do INCRA.</w:t>
      </w:r>
    </w:p>
    <w:p w:rsidR="00282B68" w:rsidRPr="00282B68" w:rsidRDefault="00282B68" w:rsidP="00282B68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 3</w:t>
      </w:r>
      <w:r w:rsidRPr="00282B68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Os dados cadastrais atualizados serão compartilhados pelo INCRA com o Instituto Brasileiro do Meio Ambiente e dos Recursos Naturais Renováveis - IBAMA e com o Instituto </w:t>
      </w: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Chico Mendes de Conservação da Biodiversidade - Instituto Chico Mendes, como forma de promover a integração das políticas estatais de que trata o § 1</w:t>
      </w:r>
      <w:r w:rsidRPr="00282B68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282B68" w:rsidRPr="00282B68" w:rsidRDefault="00282B68" w:rsidP="00282B68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 4</w:t>
      </w:r>
      <w:r w:rsidRPr="00282B68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Os documentos expedidos pelo INCRA, para fins da atualização cadastral referida no </w:t>
      </w:r>
      <w:r w:rsidRPr="00282B6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</w:t>
      </w: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não geram efeitos jurídicos para a comprovação de domínio ou de regularidade de reserva legal.</w:t>
      </w:r>
    </w:p>
    <w:p w:rsidR="00282B68" w:rsidRPr="00282B68" w:rsidRDefault="00282B68" w:rsidP="00282B68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4</w:t>
      </w:r>
      <w:r w:rsidRPr="00282B68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O INCRA poderá exigir, como parte integrante dos documentos comprobatórios da localização geográfica a que se refere o </w:t>
      </w:r>
      <w:hyperlink r:id="rId8" w:anchor="art46ic" w:history="1">
        <w:r w:rsidRPr="00282B6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art. 46, inciso I, alínea “c”, da Lei n</w:t>
        </w:r>
        <w:r w:rsidRPr="00282B68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282B6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 4.504, de 30 de novembro de </w:t>
        </w:r>
        <w:proofErr w:type="gramStart"/>
        <w:r w:rsidRPr="00282B6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1964,</w:t>
        </w:r>
        <w:proofErr w:type="gramEnd"/>
      </w:hyperlink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planta contendo o conjunto das coordenadas geográficas que definem os vértices do perímetro do imóvel rural situado nos Municípios que serão identificados na forma do art. 2</w:t>
      </w:r>
      <w:r w:rsidRPr="00282B68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282B68" w:rsidRPr="00282B68" w:rsidRDefault="00282B68" w:rsidP="00282B68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 1</w:t>
      </w:r>
      <w:r w:rsidRPr="00282B68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O INCRA estabelecerá, em instrução normativa, os critérios técnicos para a execução do estabelecido no </w:t>
      </w:r>
      <w:r w:rsidRPr="00282B6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</w:t>
      </w: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282B68" w:rsidRPr="00282B68" w:rsidRDefault="00282B68" w:rsidP="00282B68">
      <w:pPr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82B68">
        <w:rPr>
          <w:rFonts w:ascii="Arial" w:eastAsia="Times New Roman" w:hAnsi="Arial" w:cs="Arial"/>
          <w:sz w:val="20"/>
          <w:szCs w:val="20"/>
          <w:lang w:eastAsia="pt-BR"/>
        </w:rPr>
        <w:t>§ 2</w:t>
      </w:r>
      <w:r w:rsidRPr="00282B68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sz w:val="20"/>
          <w:szCs w:val="20"/>
          <w:lang w:eastAsia="pt-BR"/>
        </w:rPr>
        <w:t>  O IBAMA publicará e atualizará periodicamente lista positiva de imóveis rurais com cobertura florestal monitorada pelo Poder Público, conforme disposto no </w:t>
      </w:r>
      <w:r w:rsidRPr="00282B68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caput</w:t>
      </w:r>
      <w:r w:rsidRPr="00282B68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282B68" w:rsidRPr="00282B68" w:rsidRDefault="00282B68" w:rsidP="00282B68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5</w:t>
      </w:r>
      <w:r w:rsidRPr="00282B68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Sem prejuízo do que dispõe os </w:t>
      </w:r>
      <w:proofErr w:type="spellStart"/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arts</w:t>
      </w:r>
      <w:proofErr w:type="spellEnd"/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3</w:t>
      </w:r>
      <w:r w:rsidRPr="00282B68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e 4</w:t>
      </w:r>
      <w:r w:rsidRPr="00282B68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o Poder Público poderá, no exercício de sua competência fiscalizadora cadastral ou ambiental, ingressar no imóvel </w:t>
      </w:r>
      <w:proofErr w:type="gramStart"/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sob fiscalização</w:t>
      </w:r>
      <w:proofErr w:type="gramEnd"/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para identificar sua precisa localização geográfica, podendo, de ofício, conferir em campo as coordenadas geográficas que definem os vértices do perímetro do imóvel.</w:t>
      </w:r>
    </w:p>
    <w:p w:rsidR="00282B68" w:rsidRPr="00282B68" w:rsidRDefault="00282B68" w:rsidP="00282B68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 único.  Serão considerados atos atentatórios à fiscalização qualquer iniciativa que frustre o estabelecido no </w:t>
      </w:r>
      <w:r w:rsidRPr="00282B6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</w:t>
      </w: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282B68" w:rsidRPr="00282B68" w:rsidRDefault="00282B68" w:rsidP="00282B68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6</w:t>
      </w:r>
      <w:r w:rsidRPr="00282B68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Tendo em vista o disposto no </w:t>
      </w:r>
      <w:hyperlink r:id="rId9" w:anchor="art14a" w:history="1">
        <w:r w:rsidRPr="00282B6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art. 14, alínea “a”, da Lei n</w:t>
        </w:r>
        <w:r w:rsidRPr="00282B68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282B6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 4.771, de 15 de setembro de 1965</w:t>
        </w:r>
      </w:hyperlink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as autorizações para novos desmatamentos em extensão superior a cinco hectares por ano nos imóveis com área superior a quatro módulos fiscais, situados nos Municípios da lista do art. 2</w:t>
      </w:r>
      <w:r w:rsidRPr="00282B68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somente serão emitidas para os imóveis que possuam a certificação do </w:t>
      </w:r>
      <w:proofErr w:type="spellStart"/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georreferenciamento</w:t>
      </w:r>
      <w:proofErr w:type="spellEnd"/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expedida pelo INCRA.</w:t>
      </w:r>
    </w:p>
    <w:p w:rsidR="00282B68" w:rsidRPr="00282B68" w:rsidRDefault="00282B68" w:rsidP="00282B68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7</w:t>
      </w:r>
      <w:r w:rsidRPr="00282B68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</w:t>
      </w:r>
      <w:proofErr w:type="gramStart"/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 imóveis rurais objeto</w:t>
      </w:r>
      <w:proofErr w:type="gramEnd"/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 recadastramento de que trata o art. 3</w:t>
      </w:r>
      <w:r w:rsidRPr="00282B68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cujos detentores não procederem à atualização cadastral, terão seus respectivos cadastros inibidos no Sistema Nacional de Cadastro Rural - SNCR, até a sua regularização.</w:t>
      </w:r>
    </w:p>
    <w:p w:rsidR="00282B68" w:rsidRPr="00282B68" w:rsidRDefault="00282B68" w:rsidP="00282B68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 1</w:t>
      </w:r>
      <w:r w:rsidRPr="00282B68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Os Certificados de Cadastro de Imóveis Rurais já emitidos para os imóveis referidos no </w:t>
      </w:r>
      <w:r w:rsidRPr="00282B6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</w:t>
      </w: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serão cancelados.</w:t>
      </w:r>
    </w:p>
    <w:p w:rsidR="00282B68" w:rsidRPr="00282B68" w:rsidRDefault="00282B68" w:rsidP="00282B68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</w:t>
      </w:r>
      <w:r w:rsidRPr="00282B68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A concessão de novos certificados ficará condicionada à regularidade cadastral.</w:t>
      </w:r>
    </w:p>
    <w:p w:rsidR="00282B68" w:rsidRPr="00282B68" w:rsidRDefault="00282B68" w:rsidP="00282B68">
      <w:pPr>
        <w:spacing w:before="100" w:beforeAutospacing="1" w:after="12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8</w:t>
      </w:r>
      <w:r w:rsidRPr="00282B68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A restrição para a emissão de autorização para novos desmatamentos de que trata o art. 6</w:t>
      </w:r>
      <w:r w:rsidRPr="00282B68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não será aplicada nos seguintes casos:</w:t>
      </w:r>
    </w:p>
    <w:p w:rsidR="00282B68" w:rsidRPr="00282B68" w:rsidRDefault="00282B68" w:rsidP="00282B68">
      <w:pPr>
        <w:spacing w:before="100" w:beforeAutospacing="1" w:after="12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 - atividades de segurança nacional e proteção sanitária;</w:t>
      </w:r>
    </w:p>
    <w:p w:rsidR="00282B68" w:rsidRPr="00282B68" w:rsidRDefault="00282B68" w:rsidP="00282B68">
      <w:pPr>
        <w:spacing w:before="100" w:beforeAutospacing="1" w:after="12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 - obras essenciais de </w:t>
      </w:r>
      <w:proofErr w:type="spellStart"/>
      <w:proofErr w:type="gramStart"/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infra-estrutura</w:t>
      </w:r>
      <w:proofErr w:type="spellEnd"/>
      <w:proofErr w:type="gramEnd"/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destinadas aos serviços públicos de transporte, saneamento e energia;</w:t>
      </w:r>
    </w:p>
    <w:p w:rsidR="00282B68" w:rsidRPr="00282B68" w:rsidRDefault="00282B68" w:rsidP="00282B68">
      <w:pPr>
        <w:spacing w:before="100" w:beforeAutospacing="1" w:after="12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 - atividades de pesquisa e extração de substâncias minerais, outorgadas pela autoridade competente e com a devida licença ambiental;</w:t>
      </w:r>
    </w:p>
    <w:p w:rsidR="00282B68" w:rsidRPr="00282B68" w:rsidRDefault="00282B68" w:rsidP="00282B68">
      <w:pPr>
        <w:spacing w:before="100" w:beforeAutospacing="1" w:after="12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IV - pesquisa arqueológica; </w:t>
      </w:r>
      <w:proofErr w:type="gramStart"/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282B68" w:rsidRPr="00282B68" w:rsidRDefault="00282B68" w:rsidP="00282B68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 - atividades imprescindíveis à proteção da integridade da vegetação nativa, tais como prevenção, combate e controle do fogo, controle da erosão, erradicação de invasoras e </w:t>
      </w: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proteção de plantios com espécies nativas, de acordo com o estabelecido pelo órgão ambiental competente.</w:t>
      </w:r>
    </w:p>
    <w:p w:rsidR="00282B68" w:rsidRPr="00282B68" w:rsidRDefault="00282B68" w:rsidP="00282B68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 único.  As atividades descritas nos incisos deste artigo não serão afetadas pelo disposto no art. 7</w:t>
      </w:r>
      <w:r w:rsidRPr="00282B68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282B68" w:rsidRPr="00282B68" w:rsidRDefault="00282B68" w:rsidP="00282B68">
      <w:pPr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82B68">
        <w:rPr>
          <w:rFonts w:ascii="Arial" w:eastAsia="Times New Roman" w:hAnsi="Arial" w:cs="Arial"/>
          <w:sz w:val="20"/>
          <w:szCs w:val="20"/>
          <w:lang w:eastAsia="pt-BR"/>
        </w:rPr>
        <w:t>Art. 9</w:t>
      </w:r>
      <w:r w:rsidRPr="00282B68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sz w:val="20"/>
          <w:szCs w:val="20"/>
          <w:lang w:eastAsia="pt-BR"/>
        </w:rPr>
        <w:t xml:space="preserve">  A União promoverá, sob a coordenação do INCRA, no prazo de dois anos, prorrogável por mais um ano, sem qualquer ônus aos detentores, o </w:t>
      </w:r>
      <w:proofErr w:type="spellStart"/>
      <w:r w:rsidRPr="00282B68">
        <w:rPr>
          <w:rFonts w:ascii="Arial" w:eastAsia="Times New Roman" w:hAnsi="Arial" w:cs="Arial"/>
          <w:sz w:val="20"/>
          <w:szCs w:val="20"/>
          <w:lang w:eastAsia="pt-BR"/>
        </w:rPr>
        <w:t>georreferenciamento</w:t>
      </w:r>
      <w:proofErr w:type="spellEnd"/>
      <w:r w:rsidRPr="00282B68">
        <w:rPr>
          <w:rFonts w:ascii="Arial" w:eastAsia="Times New Roman" w:hAnsi="Arial" w:cs="Arial"/>
          <w:sz w:val="20"/>
          <w:szCs w:val="20"/>
          <w:lang w:eastAsia="pt-BR"/>
        </w:rPr>
        <w:t xml:space="preserve"> dos imóveis rurais de até quatro módulos fiscais objetos de atualização cadastral de que trata este Decreto.</w:t>
      </w:r>
    </w:p>
    <w:p w:rsidR="00282B68" w:rsidRPr="00282B68" w:rsidRDefault="00282B68" w:rsidP="00282B68">
      <w:pPr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82B68">
        <w:rPr>
          <w:rFonts w:ascii="Arial" w:eastAsia="Times New Roman" w:hAnsi="Arial" w:cs="Arial"/>
          <w:sz w:val="20"/>
          <w:szCs w:val="20"/>
          <w:lang w:eastAsia="pt-BR"/>
        </w:rPr>
        <w:t xml:space="preserve">Art. 10.  As instituições oficiais federais de crédito poderão criar linha de crédito especial para o </w:t>
      </w:r>
      <w:proofErr w:type="spellStart"/>
      <w:r w:rsidRPr="00282B68">
        <w:rPr>
          <w:rFonts w:ascii="Arial" w:eastAsia="Times New Roman" w:hAnsi="Arial" w:cs="Arial"/>
          <w:sz w:val="20"/>
          <w:szCs w:val="20"/>
          <w:lang w:eastAsia="pt-BR"/>
        </w:rPr>
        <w:t>georreferenciamento</w:t>
      </w:r>
      <w:proofErr w:type="spellEnd"/>
      <w:r w:rsidRPr="00282B68">
        <w:rPr>
          <w:rFonts w:ascii="Arial" w:eastAsia="Times New Roman" w:hAnsi="Arial" w:cs="Arial"/>
          <w:sz w:val="20"/>
          <w:szCs w:val="20"/>
          <w:lang w:eastAsia="pt-BR"/>
        </w:rPr>
        <w:t xml:space="preserve"> de imóveis rurais para fins do recadastramento rural tratado neste Decreto.</w:t>
      </w:r>
    </w:p>
    <w:p w:rsidR="00282B68" w:rsidRPr="00282B68" w:rsidRDefault="00282B68" w:rsidP="00282B68">
      <w:pPr>
        <w:spacing w:before="100" w:beforeAutospacing="1" w:after="12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82B68">
        <w:rPr>
          <w:rFonts w:ascii="Arial" w:eastAsia="Times New Roman" w:hAnsi="Arial" w:cs="Arial"/>
          <w:sz w:val="20"/>
          <w:szCs w:val="20"/>
          <w:lang w:eastAsia="pt-BR"/>
        </w:rPr>
        <w:t>Art. 11.  As agências oficiais federais de crédito não aprovarão crédito de qualquer espécie para:</w:t>
      </w:r>
    </w:p>
    <w:p w:rsidR="00282B68" w:rsidRPr="00282B68" w:rsidRDefault="00282B68" w:rsidP="00282B68">
      <w:pPr>
        <w:spacing w:before="100" w:beforeAutospacing="1" w:after="120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82B68">
        <w:rPr>
          <w:rFonts w:ascii="Arial" w:eastAsia="Times New Roman" w:hAnsi="Arial" w:cs="Arial"/>
          <w:sz w:val="20"/>
          <w:szCs w:val="20"/>
          <w:lang w:eastAsia="pt-BR"/>
        </w:rPr>
        <w:t>I - atividade agropecuária ou florestal realizada em imóvel rural que descumpra embargo de atividade nos termos dos </w:t>
      </w:r>
      <w:hyperlink r:id="rId10" w:anchor="art2§11." w:history="1">
        <w:r w:rsidRPr="00282B6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§§ 11</w:t>
        </w:r>
      </w:hyperlink>
      <w:r w:rsidRPr="00282B68">
        <w:rPr>
          <w:rFonts w:ascii="Arial" w:eastAsia="Times New Roman" w:hAnsi="Arial" w:cs="Arial"/>
          <w:sz w:val="20"/>
          <w:szCs w:val="20"/>
          <w:lang w:eastAsia="pt-BR"/>
        </w:rPr>
        <w:t> e </w:t>
      </w:r>
      <w:hyperlink r:id="rId11" w:anchor="art2§12" w:history="1">
        <w:r w:rsidRPr="00282B6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12 do art. 2</w:t>
        </w:r>
      </w:hyperlink>
      <w:hyperlink r:id="rId12" w:anchor="art2§12" w:history="1">
        <w:r w:rsidRPr="00282B68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282B6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 do Decreto n</w:t>
        </w:r>
        <w:r w:rsidRPr="00282B68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282B6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 3.179, de 21 de setembro de 1999</w:t>
        </w:r>
      </w:hyperlink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  <w:proofErr w:type="gramStart"/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282B68" w:rsidRPr="00282B68" w:rsidRDefault="00282B68" w:rsidP="00282B68">
      <w:pPr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82B68">
        <w:rPr>
          <w:rFonts w:ascii="Arial" w:eastAsia="Times New Roman" w:hAnsi="Arial" w:cs="Arial"/>
          <w:sz w:val="20"/>
          <w:szCs w:val="20"/>
          <w:lang w:eastAsia="pt-BR"/>
        </w:rPr>
        <w:t>II - serviço ou atividade comercial ou industrial de empreendimento que incorra na infração prevista no </w:t>
      </w:r>
      <w:hyperlink r:id="rId13" w:anchor="art39a" w:history="1">
        <w:r w:rsidRPr="00282B6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art. 39-A do Decreto n</w:t>
        </w:r>
      </w:hyperlink>
      <w:hyperlink r:id="rId14" w:anchor="art39a" w:history="1">
        <w:r w:rsidRPr="00282B68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282B6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 3.179, de </w:t>
        </w:r>
        <w:proofErr w:type="gramStart"/>
        <w:r w:rsidRPr="00282B6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1999.</w:t>
        </w:r>
        <w:proofErr w:type="gramEnd"/>
      </w:hyperlink>
    </w:p>
    <w:p w:rsidR="00282B68" w:rsidRPr="00282B68" w:rsidRDefault="00282B68" w:rsidP="00282B68">
      <w:pPr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0" w:name="art12"/>
      <w:bookmarkEnd w:id="0"/>
      <w:r w:rsidRPr="00282B68">
        <w:rPr>
          <w:rFonts w:ascii="Arial" w:eastAsia="Times New Roman" w:hAnsi="Arial" w:cs="Arial"/>
          <w:strike/>
          <w:sz w:val="20"/>
          <w:szCs w:val="20"/>
          <w:lang w:eastAsia="pt-BR"/>
        </w:rPr>
        <w:t>Art. 12.  O art. 2</w:t>
      </w:r>
      <w:r w:rsidRPr="00282B68">
        <w:rPr>
          <w:rFonts w:ascii="Arial" w:eastAsia="Times New Roman" w:hAnsi="Arial" w:cs="Arial"/>
          <w:strike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strike/>
          <w:sz w:val="20"/>
          <w:szCs w:val="20"/>
          <w:lang w:eastAsia="pt-BR"/>
        </w:rPr>
        <w:t> do Decreto n</w:t>
      </w:r>
      <w:r w:rsidRPr="00282B68">
        <w:rPr>
          <w:rFonts w:ascii="Arial" w:eastAsia="Times New Roman" w:hAnsi="Arial" w:cs="Arial"/>
          <w:strike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strike/>
          <w:sz w:val="20"/>
          <w:szCs w:val="20"/>
          <w:lang w:eastAsia="pt-BR"/>
        </w:rPr>
        <w:t> 3.179, de 1999, passa a vigorar com a seguinte redação:</w:t>
      </w:r>
      <w:r w:rsidRPr="00282B68">
        <w:rPr>
          <w:rFonts w:ascii="Arial" w:eastAsia="Times New Roman" w:hAnsi="Arial" w:cs="Arial"/>
          <w:sz w:val="20"/>
          <w:szCs w:val="20"/>
          <w:lang w:eastAsia="pt-BR"/>
        </w:rPr>
        <w:t> </w:t>
      </w:r>
      <w:hyperlink r:id="rId15" w:anchor="art153" w:history="1">
        <w:r w:rsidRPr="00282B6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Revogado pelo Decreto nº 6.514, de 2008</w:t>
        </w:r>
        <w:proofErr w:type="gramStart"/>
      </w:hyperlink>
      <w:proofErr w:type="gramEnd"/>
    </w:p>
    <w:p w:rsidR="00282B68" w:rsidRPr="00282B68" w:rsidRDefault="00282B68" w:rsidP="00282B68">
      <w:pPr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82B68">
        <w:rPr>
          <w:rFonts w:ascii="Arial" w:eastAsia="Times New Roman" w:hAnsi="Arial" w:cs="Arial"/>
          <w:strike/>
          <w:sz w:val="20"/>
          <w:szCs w:val="20"/>
          <w:lang w:eastAsia="pt-BR"/>
        </w:rPr>
        <w:t>“Art. 2</w:t>
      </w:r>
      <w:r w:rsidRPr="00282B68">
        <w:rPr>
          <w:rFonts w:ascii="Arial" w:eastAsia="Times New Roman" w:hAnsi="Arial" w:cs="Arial"/>
          <w:strike/>
          <w:sz w:val="20"/>
          <w:szCs w:val="20"/>
          <w:u w:val="single"/>
          <w:vertAlign w:val="superscript"/>
          <w:lang w:eastAsia="pt-BR"/>
        </w:rPr>
        <w:t>o </w:t>
      </w:r>
      <w:r w:rsidRPr="00282B68">
        <w:rPr>
          <w:rFonts w:ascii="Arial" w:eastAsia="Times New Roman" w:hAnsi="Arial" w:cs="Arial"/>
          <w:strike/>
          <w:sz w:val="20"/>
          <w:szCs w:val="20"/>
          <w:lang w:eastAsia="pt-BR"/>
        </w:rPr>
        <w:t> </w:t>
      </w:r>
      <w:proofErr w:type="gramStart"/>
      <w:r w:rsidRPr="00282B68">
        <w:rPr>
          <w:rFonts w:ascii="Arial" w:eastAsia="Times New Roman" w:hAnsi="Arial" w:cs="Arial"/>
          <w:strike/>
          <w:sz w:val="20"/>
          <w:szCs w:val="20"/>
          <w:lang w:eastAsia="pt-BR"/>
        </w:rPr>
        <w:t>.......................................................................</w:t>
      </w:r>
      <w:proofErr w:type="gramEnd"/>
      <w:r w:rsidRPr="00282B68">
        <w:rPr>
          <w:rFonts w:ascii="Arial" w:eastAsia="Times New Roman" w:hAnsi="Arial" w:cs="Arial"/>
          <w:strike/>
          <w:sz w:val="20"/>
          <w:szCs w:val="20"/>
          <w:lang w:eastAsia="pt-BR"/>
        </w:rPr>
        <w:br/>
        <w:t>....................................................................................</w:t>
      </w:r>
      <w:r w:rsidRPr="00282B68">
        <w:rPr>
          <w:rFonts w:ascii="Arial" w:eastAsia="Times New Roman" w:hAnsi="Arial" w:cs="Arial"/>
          <w:strike/>
          <w:sz w:val="20"/>
          <w:szCs w:val="20"/>
          <w:lang w:eastAsia="pt-BR"/>
        </w:rPr>
        <w:br/>
      </w:r>
      <w:hyperlink r:id="rId16" w:anchor="art2§11." w:history="1">
        <w:r w:rsidRPr="00282B68">
          <w:rPr>
            <w:rFonts w:ascii="Arial" w:eastAsia="Times New Roman" w:hAnsi="Arial" w:cs="Arial"/>
            <w:strike/>
            <w:color w:val="0000FF"/>
            <w:sz w:val="20"/>
            <w:szCs w:val="20"/>
            <w:u w:val="single"/>
            <w:lang w:eastAsia="pt-BR"/>
          </w:rPr>
          <w:t>§ 11.</w:t>
        </w:r>
      </w:hyperlink>
      <w:r w:rsidRPr="00282B68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  No caso de desmatamento ou queimada florestal irregulares de vegetação natural, o agente </w:t>
      </w:r>
      <w:proofErr w:type="spellStart"/>
      <w:r w:rsidRPr="00282B68">
        <w:rPr>
          <w:rFonts w:ascii="Arial" w:eastAsia="Times New Roman" w:hAnsi="Arial" w:cs="Arial"/>
          <w:strike/>
          <w:sz w:val="20"/>
          <w:szCs w:val="20"/>
          <w:lang w:eastAsia="pt-BR"/>
        </w:rPr>
        <w:t>autuante</w:t>
      </w:r>
      <w:proofErr w:type="spellEnd"/>
      <w:r w:rsidRPr="00282B68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 embargará a prática de atividades econômicas sobre a área danificada, excetuadas as de subsistência, e executará o </w:t>
      </w:r>
      <w:proofErr w:type="spellStart"/>
      <w:r w:rsidRPr="00282B68">
        <w:rPr>
          <w:rFonts w:ascii="Arial" w:eastAsia="Times New Roman" w:hAnsi="Arial" w:cs="Arial"/>
          <w:strike/>
          <w:sz w:val="20"/>
          <w:szCs w:val="20"/>
          <w:lang w:eastAsia="pt-BR"/>
        </w:rPr>
        <w:t>georreferenciamento</w:t>
      </w:r>
      <w:proofErr w:type="spellEnd"/>
      <w:r w:rsidRPr="00282B68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 da área embargada para fins de monitoramento, cujos dados deverão constar do respectivo auto de infração</w:t>
      </w:r>
      <w:r w:rsidRPr="00282B68">
        <w:rPr>
          <w:rFonts w:ascii="Arial" w:eastAsia="Times New Roman" w:hAnsi="Arial" w:cs="Arial"/>
          <w:sz w:val="20"/>
          <w:szCs w:val="20"/>
          <w:lang w:eastAsia="pt-BR"/>
        </w:rPr>
        <w:t>. </w:t>
      </w:r>
      <w:hyperlink r:id="rId17" w:anchor="art153" w:history="1">
        <w:r w:rsidRPr="00282B6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Revogado pelo Decreto nº 6.514, de 2008</w:t>
        </w:r>
      </w:hyperlink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282B68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282B68">
        <w:rPr>
          <w:rFonts w:ascii="Arial" w:eastAsia="Times New Roman" w:hAnsi="Arial" w:cs="Arial"/>
          <w:strike/>
          <w:sz w:val="20"/>
          <w:szCs w:val="20"/>
          <w:lang w:eastAsia="pt-BR"/>
        </w:rPr>
        <w:t>...................................................................................</w:t>
      </w:r>
      <w:r w:rsidRPr="00282B68">
        <w:rPr>
          <w:rFonts w:ascii="Arial" w:eastAsia="Times New Roman" w:hAnsi="Arial" w:cs="Arial"/>
          <w:strike/>
          <w:sz w:val="20"/>
          <w:szCs w:val="20"/>
          <w:lang w:eastAsia="pt-BR"/>
        </w:rPr>
        <w:br/>
      </w:r>
      <w:hyperlink r:id="rId18" w:anchor="art2§13" w:history="1">
        <w:r w:rsidRPr="00282B68">
          <w:rPr>
            <w:rFonts w:ascii="Arial" w:eastAsia="Times New Roman" w:hAnsi="Arial" w:cs="Arial"/>
            <w:strike/>
            <w:color w:val="0000FF"/>
            <w:sz w:val="20"/>
            <w:szCs w:val="20"/>
            <w:u w:val="single"/>
            <w:lang w:eastAsia="pt-BR"/>
          </w:rPr>
          <w:t>§ 13.</w:t>
        </w:r>
      </w:hyperlink>
      <w:r w:rsidRPr="00282B68">
        <w:rPr>
          <w:rFonts w:ascii="Arial" w:eastAsia="Times New Roman" w:hAnsi="Arial" w:cs="Arial"/>
          <w:strike/>
          <w:sz w:val="20"/>
          <w:szCs w:val="20"/>
          <w:lang w:eastAsia="pt-BR"/>
        </w:rPr>
        <w:t>  O descumprimento, total ou parcial, do embargo referido nos §§ 11 e 12 deste artigo será punido com</w:t>
      </w:r>
      <w:r w:rsidRPr="00282B68">
        <w:rPr>
          <w:rFonts w:ascii="Arial" w:eastAsia="Times New Roman" w:hAnsi="Arial" w:cs="Arial"/>
          <w:sz w:val="20"/>
          <w:szCs w:val="20"/>
          <w:lang w:eastAsia="pt-BR"/>
        </w:rPr>
        <w:t>: </w:t>
      </w:r>
      <w:hyperlink r:id="rId19" w:anchor="art153" w:history="1">
        <w:r w:rsidRPr="00282B6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Revogado pelo Decreto nº 6.514, de 2008</w:t>
        </w:r>
      </w:hyperlink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282B68">
        <w:rPr>
          <w:rFonts w:ascii="Arial" w:eastAsia="Times New Roman" w:hAnsi="Arial" w:cs="Arial"/>
          <w:strike/>
          <w:sz w:val="20"/>
          <w:szCs w:val="20"/>
          <w:lang w:eastAsia="pt-BR"/>
        </w:rPr>
        <w:t>I - a suspensão da atividade que originou a infração e da venda de produtos ou subprodutos criados ou produzidos na área objeto do embargo infringido;</w:t>
      </w:r>
      <w:r w:rsidRPr="00282B68">
        <w:rPr>
          <w:rFonts w:ascii="Arial" w:eastAsia="Times New Roman" w:hAnsi="Arial" w:cs="Arial"/>
          <w:strike/>
          <w:sz w:val="20"/>
          <w:szCs w:val="20"/>
          <w:lang w:eastAsia="pt-BR"/>
        </w:rPr>
        <w:br/>
        <w:t>II - o cancelamento de respectivos cadastros, registros, licenças, permissões ou autorizações de funcionamento da atividade econômica junto aos órgãos ambientais, fiscais e sanitários; </w:t>
      </w:r>
      <w:r w:rsidRPr="00282B68">
        <w:rPr>
          <w:rFonts w:ascii="Arial" w:eastAsia="Times New Roman" w:hAnsi="Arial" w:cs="Arial"/>
          <w:strike/>
          <w:sz w:val="20"/>
          <w:szCs w:val="20"/>
          <w:lang w:eastAsia="pt-BR"/>
        </w:rPr>
        <w:br/>
        <w:t>III - multa cujo valor será o dobro do correspondente ao aplicado para o desmatamento da área objeto do embargo; e</w:t>
      </w:r>
      <w:r w:rsidRPr="00282B68">
        <w:rPr>
          <w:rFonts w:ascii="Arial" w:eastAsia="Times New Roman" w:hAnsi="Arial" w:cs="Arial"/>
          <w:strike/>
          <w:sz w:val="20"/>
          <w:szCs w:val="20"/>
          <w:lang w:eastAsia="pt-BR"/>
        </w:rPr>
        <w:br/>
        <w:t>IV - divulgação dos dados do imóvel rural e do respectivo titular em lista mantida pelo IBAMA, resguardados os dados protegidos por legislação específica.” (NR)</w:t>
      </w:r>
    </w:p>
    <w:p w:rsidR="00282B68" w:rsidRPr="00282B68" w:rsidRDefault="00282B68" w:rsidP="00282B68">
      <w:pPr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1" w:name="art13"/>
      <w:bookmarkEnd w:id="1"/>
      <w:r w:rsidRPr="00282B68">
        <w:rPr>
          <w:rFonts w:ascii="Arial" w:eastAsia="Times New Roman" w:hAnsi="Arial" w:cs="Arial"/>
          <w:strike/>
          <w:sz w:val="20"/>
          <w:szCs w:val="20"/>
          <w:lang w:eastAsia="pt-BR"/>
        </w:rPr>
        <w:t>Art. 13.  O Decreto n</w:t>
      </w:r>
      <w:r w:rsidRPr="00282B68">
        <w:rPr>
          <w:rFonts w:ascii="Arial" w:eastAsia="Times New Roman" w:hAnsi="Arial" w:cs="Arial"/>
          <w:strike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strike/>
          <w:sz w:val="20"/>
          <w:szCs w:val="20"/>
          <w:lang w:eastAsia="pt-BR"/>
        </w:rPr>
        <w:t> 3.179, de 1999, passa a vigorar acrescido dos seguintes artigos: </w:t>
      </w:r>
      <w:hyperlink r:id="rId20" w:anchor="art153" w:history="1">
        <w:r w:rsidRPr="00282B6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Revogado pelo Decreto nº 6.514, de 2008</w:t>
        </w:r>
        <w:proofErr w:type="gramStart"/>
      </w:hyperlink>
      <w:proofErr w:type="gramEnd"/>
    </w:p>
    <w:p w:rsidR="00282B68" w:rsidRPr="00282B68" w:rsidRDefault="00282B68" w:rsidP="00282B68">
      <w:pPr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82B68">
        <w:rPr>
          <w:rFonts w:ascii="Arial" w:eastAsia="Times New Roman" w:hAnsi="Arial" w:cs="Arial"/>
          <w:sz w:val="20"/>
          <w:szCs w:val="20"/>
          <w:lang w:eastAsia="pt-BR"/>
        </w:rPr>
        <w:t>“</w:t>
      </w:r>
      <w:hyperlink r:id="rId21" w:anchor="art39a" w:history="1">
        <w:r w:rsidRPr="00282B68">
          <w:rPr>
            <w:rFonts w:ascii="Arial" w:eastAsia="Times New Roman" w:hAnsi="Arial" w:cs="Arial"/>
            <w:strike/>
            <w:color w:val="0000FF"/>
            <w:sz w:val="20"/>
            <w:szCs w:val="20"/>
            <w:u w:val="single"/>
            <w:lang w:eastAsia="pt-BR"/>
          </w:rPr>
          <w:t>Art. 39-</w:t>
        </w:r>
        <w:proofErr w:type="gramStart"/>
        <w:r w:rsidRPr="00282B68">
          <w:rPr>
            <w:rFonts w:ascii="Arial" w:eastAsia="Times New Roman" w:hAnsi="Arial" w:cs="Arial"/>
            <w:strike/>
            <w:color w:val="0000FF"/>
            <w:sz w:val="20"/>
            <w:szCs w:val="20"/>
            <w:u w:val="single"/>
            <w:lang w:eastAsia="pt-BR"/>
          </w:rPr>
          <w:t>A.</w:t>
        </w:r>
        <w:proofErr w:type="gramEnd"/>
      </w:hyperlink>
      <w:r w:rsidRPr="00282B68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  Incorre nas mesmas penas aplicáveis aos infratores do disposto nos </w:t>
      </w:r>
      <w:proofErr w:type="spellStart"/>
      <w:r w:rsidRPr="00282B68">
        <w:rPr>
          <w:rFonts w:ascii="Arial" w:eastAsia="Times New Roman" w:hAnsi="Arial" w:cs="Arial"/>
          <w:strike/>
          <w:sz w:val="20"/>
          <w:szCs w:val="20"/>
          <w:lang w:eastAsia="pt-BR"/>
        </w:rPr>
        <w:t>arts</w:t>
      </w:r>
      <w:proofErr w:type="spellEnd"/>
      <w:r w:rsidRPr="00282B68">
        <w:rPr>
          <w:rFonts w:ascii="Arial" w:eastAsia="Times New Roman" w:hAnsi="Arial" w:cs="Arial"/>
          <w:strike/>
          <w:sz w:val="20"/>
          <w:szCs w:val="20"/>
          <w:lang w:eastAsia="pt-BR"/>
        </w:rPr>
        <w:t>. 25, 28 e 39 deste Decreto a pessoa física ou jurídica que adquirir, intermediar, transportar ou comercializar produto ou subproduto de origem animal ou vegetal produzido sobre área objeto do embargo lavrado nos termos do § 11 do art. 2</w:t>
      </w:r>
      <w:r w:rsidRPr="00282B68">
        <w:rPr>
          <w:rFonts w:ascii="Arial" w:eastAsia="Times New Roman" w:hAnsi="Arial" w:cs="Arial"/>
          <w:strike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strike/>
          <w:sz w:val="20"/>
          <w:szCs w:val="20"/>
          <w:lang w:eastAsia="pt-BR"/>
        </w:rPr>
        <w:t> deste Decreto.” (NR)</w:t>
      </w:r>
      <w:r w:rsidRPr="00282B68">
        <w:rPr>
          <w:rFonts w:ascii="Arial" w:eastAsia="Times New Roman" w:hAnsi="Arial" w:cs="Arial"/>
          <w:sz w:val="20"/>
          <w:szCs w:val="20"/>
          <w:lang w:eastAsia="pt-BR"/>
        </w:rPr>
        <w:t> </w:t>
      </w:r>
      <w:hyperlink r:id="rId22" w:anchor="art153" w:history="1">
        <w:r w:rsidRPr="00282B6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Revogado pelo Decreto nº 6.514, de 2008</w:t>
        </w:r>
      </w:hyperlink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282B68">
        <w:rPr>
          <w:rFonts w:ascii="Arial" w:eastAsia="Times New Roman" w:hAnsi="Arial" w:cs="Arial"/>
          <w:strike/>
          <w:spacing w:val="-4"/>
          <w:sz w:val="20"/>
          <w:szCs w:val="20"/>
          <w:lang w:eastAsia="pt-BR"/>
        </w:rPr>
        <w:t>“</w:t>
      </w:r>
      <w:hyperlink r:id="rId23" w:anchor="art53a" w:history="1">
        <w:r w:rsidRPr="00282B68">
          <w:rPr>
            <w:rFonts w:ascii="Arial" w:eastAsia="Times New Roman" w:hAnsi="Arial" w:cs="Arial"/>
            <w:strike/>
            <w:color w:val="0000FF"/>
            <w:spacing w:val="-4"/>
            <w:sz w:val="20"/>
            <w:szCs w:val="20"/>
            <w:u w:val="single"/>
            <w:lang w:eastAsia="pt-BR"/>
          </w:rPr>
          <w:t>Art. 53-A</w:t>
        </w:r>
      </w:hyperlink>
      <w:r w:rsidRPr="00282B68">
        <w:rPr>
          <w:rFonts w:ascii="Arial" w:eastAsia="Times New Roman" w:hAnsi="Arial" w:cs="Arial"/>
          <w:strike/>
          <w:spacing w:val="-4"/>
          <w:sz w:val="20"/>
          <w:szCs w:val="20"/>
          <w:lang w:eastAsia="pt-BR"/>
        </w:rPr>
        <w:t xml:space="preserve">.  Obstar ou dificultar a ação do Poder Público, ou de terceiro por ele encarregado, de </w:t>
      </w:r>
      <w:proofErr w:type="spellStart"/>
      <w:r w:rsidRPr="00282B68">
        <w:rPr>
          <w:rFonts w:ascii="Arial" w:eastAsia="Times New Roman" w:hAnsi="Arial" w:cs="Arial"/>
          <w:strike/>
          <w:spacing w:val="-4"/>
          <w:sz w:val="20"/>
          <w:szCs w:val="20"/>
          <w:lang w:eastAsia="pt-BR"/>
        </w:rPr>
        <w:t>georreferenciamento</w:t>
      </w:r>
      <w:proofErr w:type="spellEnd"/>
      <w:r w:rsidRPr="00282B68">
        <w:rPr>
          <w:rFonts w:ascii="Arial" w:eastAsia="Times New Roman" w:hAnsi="Arial" w:cs="Arial"/>
          <w:strike/>
          <w:spacing w:val="-4"/>
          <w:sz w:val="20"/>
          <w:szCs w:val="20"/>
          <w:lang w:eastAsia="pt-BR"/>
        </w:rPr>
        <w:t xml:space="preserve"> de imóveis rurais para fins de fiscalização de desmatamento:</w:t>
      </w:r>
      <w:r w:rsidRPr="00282B68">
        <w:rPr>
          <w:rFonts w:ascii="Arial" w:eastAsia="Times New Roman" w:hAnsi="Arial" w:cs="Arial"/>
          <w:spacing w:val="-4"/>
          <w:sz w:val="20"/>
          <w:szCs w:val="20"/>
          <w:lang w:eastAsia="pt-BR"/>
        </w:rPr>
        <w:t> </w:t>
      </w:r>
      <w:hyperlink r:id="rId24" w:anchor="art153" w:history="1">
        <w:r w:rsidRPr="00282B6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Revogado pelo </w:t>
        </w:r>
        <w:r w:rsidRPr="00282B6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lastRenderedPageBreak/>
          <w:t>Decreto nº 6.514, de 2008</w:t>
        </w:r>
      </w:hyperlink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282B68">
        <w:rPr>
          <w:rFonts w:ascii="Arial" w:eastAsia="Times New Roman" w:hAnsi="Arial" w:cs="Arial"/>
          <w:strike/>
          <w:sz w:val="20"/>
          <w:szCs w:val="20"/>
          <w:lang w:eastAsia="pt-BR"/>
        </w:rPr>
        <w:t>Multa de R$ 100,00 (cem reais) a R$ 300,00 (trezentos reais) por hectare do imóvel.</w:t>
      </w:r>
      <w:r w:rsidRPr="00282B68">
        <w:rPr>
          <w:rFonts w:ascii="Arial" w:eastAsia="Times New Roman" w:hAnsi="Arial" w:cs="Arial"/>
          <w:strike/>
          <w:spacing w:val="-4"/>
          <w:sz w:val="20"/>
          <w:szCs w:val="20"/>
          <w:lang w:eastAsia="pt-BR"/>
        </w:rPr>
        <w:t>” (NR)</w:t>
      </w:r>
    </w:p>
    <w:p w:rsidR="00282B68" w:rsidRPr="00282B68" w:rsidRDefault="00282B68" w:rsidP="00282B68">
      <w:pPr>
        <w:spacing w:before="100" w:beforeAutospacing="1" w:after="12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Art. 14.  O Ministério do Meio Ambiente editará e atualizará periodicamente lista de Municípios com desmatamento monitorado e </w:t>
      </w:r>
      <w:proofErr w:type="gramStart"/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sob controle</w:t>
      </w:r>
      <w:proofErr w:type="gramEnd"/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desde que o Município, cumulativamente, cumpra os seguintes requisitos:</w:t>
      </w:r>
    </w:p>
    <w:p w:rsidR="00282B68" w:rsidRPr="00282B68" w:rsidRDefault="00282B68" w:rsidP="00282B68">
      <w:pPr>
        <w:spacing w:before="100" w:beforeAutospacing="1" w:after="12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 - possua oitenta por cento de seu território, excetuadas as unidades de conservação de domínio público e terras indígenas homologadas, com imóveis rurais devidamente monitorados na forma e de acordo com critérios técnicos fixados em instrução normativa específica do INCRA, nos termos do art. 4</w:t>
      </w:r>
      <w:r w:rsidRPr="00282B68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deste Decreto; </w:t>
      </w:r>
      <w:proofErr w:type="gramStart"/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282B68" w:rsidRPr="00282B68" w:rsidRDefault="00282B68" w:rsidP="00282B68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 - mantenha taxa de desmatamento anual abaixo do limite estabelecido em portaria do Ministério do Meio Ambiente.</w:t>
      </w:r>
    </w:p>
    <w:p w:rsidR="00282B68" w:rsidRPr="00282B68" w:rsidRDefault="00282B68" w:rsidP="00282B68">
      <w:pPr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82B68">
        <w:rPr>
          <w:rFonts w:ascii="Arial" w:eastAsia="Times New Roman" w:hAnsi="Arial" w:cs="Arial"/>
          <w:sz w:val="20"/>
          <w:szCs w:val="20"/>
          <w:lang w:eastAsia="pt-BR"/>
        </w:rPr>
        <w:t>§ 1</w:t>
      </w:r>
      <w:r w:rsidRPr="00282B68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sz w:val="20"/>
          <w:szCs w:val="20"/>
          <w:lang w:eastAsia="pt-BR"/>
        </w:rPr>
        <w:t xml:space="preserve">  A União priorizará em seus planos, programas e projetos voltados à Região Amazônica os Municípios constantes da lista referida neste artigo para fins de incentivos econômicos e fiscais, visando </w:t>
      </w:r>
      <w:proofErr w:type="gramStart"/>
      <w:r w:rsidRPr="00282B68">
        <w:rPr>
          <w:rFonts w:ascii="Arial" w:eastAsia="Times New Roman" w:hAnsi="Arial" w:cs="Arial"/>
          <w:sz w:val="20"/>
          <w:szCs w:val="20"/>
          <w:lang w:eastAsia="pt-BR"/>
        </w:rPr>
        <w:t>a</w:t>
      </w:r>
      <w:proofErr w:type="gramEnd"/>
      <w:r w:rsidRPr="00282B68">
        <w:rPr>
          <w:rFonts w:ascii="Arial" w:eastAsia="Times New Roman" w:hAnsi="Arial" w:cs="Arial"/>
          <w:sz w:val="20"/>
          <w:szCs w:val="20"/>
          <w:lang w:eastAsia="pt-BR"/>
        </w:rPr>
        <w:t xml:space="preserve"> produção florestal, agroextrativista e agropecuária sustentáveis.</w:t>
      </w:r>
    </w:p>
    <w:p w:rsidR="00282B68" w:rsidRPr="00282B68" w:rsidRDefault="00282B68" w:rsidP="00282B68">
      <w:pPr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82B68">
        <w:rPr>
          <w:rFonts w:ascii="Arial" w:eastAsia="Times New Roman" w:hAnsi="Arial" w:cs="Arial"/>
          <w:sz w:val="20"/>
          <w:szCs w:val="20"/>
          <w:lang w:eastAsia="pt-BR"/>
        </w:rPr>
        <w:t>§ 2</w:t>
      </w:r>
      <w:r w:rsidRPr="00282B68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sz w:val="20"/>
          <w:szCs w:val="20"/>
          <w:lang w:eastAsia="pt-BR"/>
        </w:rPr>
        <w:t>  Qualquer Município situado no Bioma Amazônia poderá integrar a lista referida no </w:t>
      </w:r>
      <w:r w:rsidRPr="00282B68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caput</w:t>
      </w:r>
      <w:r w:rsidRPr="00282B68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282B68" w:rsidRPr="00282B68" w:rsidRDefault="00282B68" w:rsidP="00282B68">
      <w:pPr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82B68">
        <w:rPr>
          <w:rFonts w:ascii="Arial" w:eastAsia="Times New Roman" w:hAnsi="Arial" w:cs="Arial"/>
          <w:sz w:val="20"/>
          <w:szCs w:val="20"/>
          <w:lang w:eastAsia="pt-BR"/>
        </w:rPr>
        <w:t>Art. 15.  Este Decreto entra em vigor na data de sua publicação.</w:t>
      </w:r>
    </w:p>
    <w:p w:rsidR="00282B68" w:rsidRPr="00282B68" w:rsidRDefault="00282B68" w:rsidP="00282B68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Brasília, 21 de dezembro de 2007; 186</w:t>
      </w:r>
      <w:r w:rsidRPr="00282B68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 Independência e 119</w:t>
      </w:r>
      <w:r w:rsidRPr="00282B68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 República.</w:t>
      </w:r>
    </w:p>
    <w:p w:rsidR="00282B68" w:rsidRPr="00282B68" w:rsidRDefault="00282B68" w:rsidP="00282B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LUIZ INÁCIO LULA DA SILVA </w:t>
      </w:r>
      <w:r w:rsidRPr="00282B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282B68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Marina Silva</w:t>
      </w:r>
    </w:p>
    <w:p w:rsidR="00282B68" w:rsidRPr="00282B68" w:rsidRDefault="00282B68" w:rsidP="00282B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82B6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Este texto não substitui o publicado no DOU de 21.12.2007 - Edição extra.</w:t>
      </w:r>
    </w:p>
    <w:p w:rsidR="00282B68" w:rsidRPr="00282B68" w:rsidRDefault="00282B68" w:rsidP="00282B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82B68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*</w:t>
      </w:r>
    </w:p>
    <w:p w:rsidR="005A6F9A" w:rsidRDefault="005A6F9A">
      <w:bookmarkStart w:id="2" w:name="_GoBack"/>
      <w:bookmarkEnd w:id="2"/>
    </w:p>
    <w:sectPr w:rsidR="005A6F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B68"/>
    <w:rsid w:val="00282B68"/>
    <w:rsid w:val="005A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82B6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82B68"/>
    <w:rPr>
      <w:color w:val="0000FF"/>
      <w:u w:val="single"/>
    </w:rPr>
  </w:style>
  <w:style w:type="paragraph" w:customStyle="1" w:styleId="tpementa">
    <w:name w:val="tpementa"/>
    <w:basedOn w:val="Normal"/>
    <w:rsid w:val="0028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82B68"/>
  </w:style>
  <w:style w:type="paragraph" w:styleId="Corpodetexto2">
    <w:name w:val="Body Text 2"/>
    <w:basedOn w:val="Normal"/>
    <w:link w:val="Corpodetexto2Char"/>
    <w:uiPriority w:val="99"/>
    <w:semiHidden/>
    <w:unhideWhenUsed/>
    <w:rsid w:val="0028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82B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ltuntertitel">
    <w:name w:val="padroltuntertitel"/>
    <w:basedOn w:val="Normal"/>
    <w:rsid w:val="0028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8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82B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8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82B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ropassinaturas">
    <w:name w:val="propassinaturas"/>
    <w:basedOn w:val="Normal"/>
    <w:rsid w:val="0028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82B6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82B68"/>
    <w:rPr>
      <w:color w:val="0000FF"/>
      <w:u w:val="single"/>
    </w:rPr>
  </w:style>
  <w:style w:type="paragraph" w:customStyle="1" w:styleId="tpementa">
    <w:name w:val="tpementa"/>
    <w:basedOn w:val="Normal"/>
    <w:rsid w:val="0028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82B68"/>
  </w:style>
  <w:style w:type="paragraph" w:styleId="Corpodetexto2">
    <w:name w:val="Body Text 2"/>
    <w:basedOn w:val="Normal"/>
    <w:link w:val="Corpodetexto2Char"/>
    <w:uiPriority w:val="99"/>
    <w:semiHidden/>
    <w:unhideWhenUsed/>
    <w:rsid w:val="0028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82B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ltuntertitel">
    <w:name w:val="padroltuntertitel"/>
    <w:basedOn w:val="Normal"/>
    <w:rsid w:val="0028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8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82B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8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82B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ropassinaturas">
    <w:name w:val="propassinaturas"/>
    <w:basedOn w:val="Normal"/>
    <w:rsid w:val="0028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2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0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55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9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375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4504.htm" TargetMode="External"/><Relationship Id="rId13" Type="http://schemas.openxmlformats.org/officeDocument/2006/relationships/hyperlink" Target="http://www.planalto.gov.br/ccivil_03/decreto/D3179.htm" TargetMode="External"/><Relationship Id="rId18" Type="http://schemas.openxmlformats.org/officeDocument/2006/relationships/hyperlink" Target="http://www.planalto.gov.br/ccivil_03/decreto/D3179.ht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planalto.gov.br/ccivil_03/decreto/D3179.htm" TargetMode="External"/><Relationship Id="rId7" Type="http://schemas.openxmlformats.org/officeDocument/2006/relationships/hyperlink" Target="http://www.planalto.gov.br/ccivil_03/LEIS/L5868.htm" TargetMode="External"/><Relationship Id="rId12" Type="http://schemas.openxmlformats.org/officeDocument/2006/relationships/hyperlink" Target="http://www.planalto.gov.br/ccivil_03/decreto/D3179.htm" TargetMode="External"/><Relationship Id="rId17" Type="http://schemas.openxmlformats.org/officeDocument/2006/relationships/hyperlink" Target="http://www.planalto.gov.br/ccivil_03/_ato2007-2010/2008/Decreto/D6514.htm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planalto.gov.br/ccivil_03/decreto/D3179.htm" TargetMode="External"/><Relationship Id="rId20" Type="http://schemas.openxmlformats.org/officeDocument/2006/relationships/hyperlink" Target="http://www.planalto.gov.br/ccivil_03/_ato2007-2010/2008/Decreto/D6514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5868.htm" TargetMode="External"/><Relationship Id="rId11" Type="http://schemas.openxmlformats.org/officeDocument/2006/relationships/hyperlink" Target="http://www.planalto.gov.br/ccivil_03/decreto/D3179.htm" TargetMode="External"/><Relationship Id="rId24" Type="http://schemas.openxmlformats.org/officeDocument/2006/relationships/hyperlink" Target="http://www.planalto.gov.br/ccivil_03/_ato2007-2010/2008/Decreto/D6514.htm" TargetMode="External"/><Relationship Id="rId5" Type="http://schemas.openxmlformats.org/officeDocument/2006/relationships/hyperlink" Target="http://legislacao.planalto.gov.br/legisla/legislacao.nsf/Viw_Identificacao/DEC%206.321-2007?OpenDocument" TargetMode="External"/><Relationship Id="rId15" Type="http://schemas.openxmlformats.org/officeDocument/2006/relationships/hyperlink" Target="http://www.planalto.gov.br/ccivil_03/_ato2007-2010/2008/Decreto/D6514.htm" TargetMode="External"/><Relationship Id="rId23" Type="http://schemas.openxmlformats.org/officeDocument/2006/relationships/hyperlink" Target="http://www.planalto.gov.br/ccivil_03/decreto/D3179.htm" TargetMode="External"/><Relationship Id="rId10" Type="http://schemas.openxmlformats.org/officeDocument/2006/relationships/hyperlink" Target="http://www.planalto.gov.br/ccivil_03/decreto/D3179.htm" TargetMode="External"/><Relationship Id="rId19" Type="http://schemas.openxmlformats.org/officeDocument/2006/relationships/hyperlink" Target="http://www.planalto.gov.br/ccivil_03/_ato2007-2010/2008/Decreto/D651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LEIS/L4771.htm" TargetMode="External"/><Relationship Id="rId14" Type="http://schemas.openxmlformats.org/officeDocument/2006/relationships/hyperlink" Target="http://www.planalto.gov.br/ccivil_03/decreto/D3179.htm" TargetMode="External"/><Relationship Id="rId22" Type="http://schemas.openxmlformats.org/officeDocument/2006/relationships/hyperlink" Target="http://www.planalto.gov.br/ccivil_03/_ato2007-2010/2008/Decreto/D6514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crislu</dc:creator>
  <cp:lastModifiedBy>crislu</cp:lastModifiedBy>
  <cp:revision>1</cp:revision>
  <dcterms:created xsi:type="dcterms:W3CDTF">2017-04-10T02:02:00Z</dcterms:created>
  <dcterms:modified xsi:type="dcterms:W3CDTF">2017-04-10T02:03:00Z</dcterms:modified>
</cp:coreProperties>
</file>